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3AF54" w14:textId="77777777" w:rsidR="00EC4EAC" w:rsidRDefault="00EC4EAC">
      <w:pPr>
        <w:spacing w:before="11"/>
        <w:rPr>
          <w:rFonts w:ascii="Times New Roman" w:eastAsia="Times New Roman" w:hAnsi="Times New Roman" w:cs="Times New Roman"/>
          <w:sz w:val="20"/>
          <w:szCs w:val="20"/>
        </w:rPr>
      </w:pPr>
      <w:bookmarkStart w:id="0" w:name="_GoBack"/>
      <w:bookmarkEnd w:id="0"/>
    </w:p>
    <w:p w14:paraId="2C79FE43" w14:textId="14EF2CC2" w:rsidR="00EC4EAC" w:rsidRDefault="001E6506" w:rsidP="00784237">
      <w:pPr>
        <w:spacing w:before="58" w:line="471" w:lineRule="auto"/>
        <w:ind w:left="810" w:right="1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DUAL</w:t>
      </w:r>
      <w:r w:rsidR="0069563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ENROLLMENT</w:t>
      </w:r>
      <w:r w:rsidR="00270BC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AGREEMENT</w:t>
      </w:r>
    </w:p>
    <w:p w14:paraId="5F1C1486" w14:textId="63142948" w:rsidR="0094645F" w:rsidRPr="0094645F" w:rsidRDefault="0094645F" w:rsidP="0094645F">
      <w:pPr>
        <w:pBdr>
          <w:top w:val="nil"/>
          <w:left w:val="nil"/>
          <w:bottom w:val="nil"/>
          <w:right w:val="nil"/>
          <w:between w:val="nil"/>
        </w:pBdr>
        <w:spacing w:before="31" w:line="255" w:lineRule="auto"/>
        <w:ind w:left="810" w:firstLine="709"/>
        <w:jc w:val="both"/>
        <w:rPr>
          <w:rFonts w:ascii="Times New Roman" w:eastAsia="Times New Roman" w:hAnsi="Times New Roman" w:cs="Times New Roman"/>
          <w:color w:val="000000"/>
          <w:sz w:val="23"/>
          <w:szCs w:val="23"/>
        </w:rPr>
      </w:pPr>
      <w:r w:rsidRPr="0094645F">
        <w:rPr>
          <w:rFonts w:ascii="Times New Roman" w:eastAsia="Times New Roman" w:hAnsi="Times New Roman" w:cs="Times New Roman"/>
          <w:color w:val="000000"/>
          <w:sz w:val="23"/>
          <w:szCs w:val="23"/>
        </w:rPr>
        <w:t xml:space="preserve">This </w:t>
      </w:r>
      <w:r>
        <w:rPr>
          <w:rFonts w:ascii="Times New Roman" w:eastAsia="Times New Roman" w:hAnsi="Times New Roman" w:cs="Times New Roman"/>
          <w:color w:val="000000"/>
          <w:sz w:val="23"/>
          <w:szCs w:val="23"/>
        </w:rPr>
        <w:t>Dual Enrollment Agreement (the “</w:t>
      </w:r>
      <w:r w:rsidRPr="0094645F">
        <w:rPr>
          <w:rFonts w:ascii="Times New Roman" w:eastAsia="Times New Roman" w:hAnsi="Times New Roman" w:cs="Times New Roman"/>
          <w:color w:val="000000"/>
          <w:sz w:val="23"/>
          <w:szCs w:val="23"/>
        </w:rPr>
        <w:t>Agreement</w:t>
      </w:r>
      <w:r>
        <w:rPr>
          <w:rFonts w:ascii="Times New Roman" w:eastAsia="Times New Roman" w:hAnsi="Times New Roman" w:cs="Times New Roman"/>
          <w:color w:val="000000"/>
          <w:sz w:val="23"/>
          <w:szCs w:val="23"/>
        </w:rPr>
        <w:t>”)</w:t>
      </w:r>
      <w:r w:rsidRPr="0094645F">
        <w:rPr>
          <w:rFonts w:ascii="Times New Roman" w:eastAsia="Times New Roman" w:hAnsi="Times New Roman" w:cs="Times New Roman"/>
          <w:color w:val="000000"/>
          <w:sz w:val="23"/>
          <w:szCs w:val="23"/>
        </w:rPr>
        <w:t xml:space="preserve"> is entered into by, and between Bergen Community College, 400 Paramus Road, Paramus, New Jersey 07652</w:t>
      </w:r>
      <w:r>
        <w:rPr>
          <w:rFonts w:ascii="Times New Roman" w:eastAsia="Times New Roman" w:hAnsi="Times New Roman" w:cs="Times New Roman"/>
          <w:color w:val="000000"/>
          <w:sz w:val="23"/>
          <w:szCs w:val="23"/>
        </w:rPr>
        <w:t xml:space="preserve"> (“BCC”)</w:t>
      </w:r>
      <w:r w:rsidRPr="0094645F">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and the Newark Board of Education at Barringer High School, 765 Broad Street, Newark, New Jersey 07102 (the “Board”).</w:t>
      </w:r>
      <w:r w:rsidRPr="0094645F">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BCC and the Board</w:t>
      </w:r>
      <w:r w:rsidRPr="0094645F">
        <w:rPr>
          <w:rFonts w:ascii="Times New Roman" w:eastAsia="Times New Roman" w:hAnsi="Times New Roman" w:cs="Times New Roman"/>
          <w:color w:val="000000"/>
          <w:sz w:val="23"/>
          <w:szCs w:val="23"/>
        </w:rPr>
        <w:t xml:space="preserve"> are also referred to herein as “Party” individually and “Parties” collectively.</w:t>
      </w:r>
    </w:p>
    <w:p w14:paraId="534C3DC2" w14:textId="77777777" w:rsidR="0094645F" w:rsidRDefault="0094645F" w:rsidP="00B36F44">
      <w:pPr>
        <w:pBdr>
          <w:top w:val="nil"/>
          <w:left w:val="nil"/>
          <w:bottom w:val="nil"/>
          <w:right w:val="nil"/>
          <w:between w:val="nil"/>
        </w:pBdr>
        <w:spacing w:before="31" w:line="255" w:lineRule="auto"/>
        <w:ind w:left="810" w:firstLine="709"/>
        <w:jc w:val="both"/>
        <w:rPr>
          <w:rFonts w:ascii="Times New Roman" w:eastAsia="Times New Roman" w:hAnsi="Times New Roman" w:cs="Times New Roman"/>
          <w:color w:val="000000"/>
          <w:sz w:val="23"/>
          <w:szCs w:val="23"/>
        </w:rPr>
      </w:pPr>
    </w:p>
    <w:p w14:paraId="2EEA1697" w14:textId="2FB7D1D9" w:rsidR="0094645F" w:rsidRDefault="001E6506" w:rsidP="00B36F44">
      <w:pPr>
        <w:pBdr>
          <w:top w:val="nil"/>
          <w:left w:val="nil"/>
          <w:bottom w:val="nil"/>
          <w:right w:val="nil"/>
          <w:between w:val="nil"/>
        </w:pBdr>
        <w:spacing w:before="31" w:line="255" w:lineRule="auto"/>
        <w:ind w:left="810"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WHEREAS</w:t>
      </w:r>
      <w:r w:rsidR="00B36F44">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r w:rsidR="00CF7DA0">
        <w:rPr>
          <w:rFonts w:ascii="Times New Roman" w:eastAsia="Times New Roman" w:hAnsi="Times New Roman" w:cs="Times New Roman"/>
          <w:color w:val="000000"/>
          <w:sz w:val="23"/>
          <w:szCs w:val="23"/>
        </w:rPr>
        <w:t>BCC and the Board</w:t>
      </w:r>
      <w:r w:rsidR="00B36F44">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believe that planning and working together can strengthen their </w:t>
      </w:r>
      <w:r w:rsidR="00B36F44">
        <w:rPr>
          <w:rFonts w:ascii="Times New Roman" w:eastAsia="Times New Roman" w:hAnsi="Times New Roman" w:cs="Times New Roman"/>
          <w:color w:val="000000"/>
          <w:sz w:val="23"/>
          <w:szCs w:val="23"/>
        </w:rPr>
        <w:t xml:space="preserve">individual </w:t>
      </w:r>
      <w:r>
        <w:rPr>
          <w:rFonts w:ascii="Times New Roman" w:eastAsia="Times New Roman" w:hAnsi="Times New Roman" w:cs="Times New Roman"/>
          <w:color w:val="000000"/>
          <w:sz w:val="23"/>
          <w:szCs w:val="23"/>
        </w:rPr>
        <w:t>course offerings, provide new opportunities to students, increase the number of students they serve, encourage more students to earn a college degree, and qualify some courses for both high school and college credit</w:t>
      </w:r>
      <w:r w:rsidR="0094645F">
        <w:rPr>
          <w:rFonts w:ascii="Times New Roman" w:eastAsia="Times New Roman" w:hAnsi="Times New Roman" w:cs="Times New Roman"/>
          <w:color w:val="000000"/>
          <w:sz w:val="23"/>
          <w:szCs w:val="23"/>
        </w:rPr>
        <w:t>.</w:t>
      </w:r>
    </w:p>
    <w:p w14:paraId="657173E6" w14:textId="77777777" w:rsidR="0094645F" w:rsidRDefault="0094645F" w:rsidP="00B36F44">
      <w:pPr>
        <w:pBdr>
          <w:top w:val="nil"/>
          <w:left w:val="nil"/>
          <w:bottom w:val="nil"/>
          <w:right w:val="nil"/>
          <w:between w:val="nil"/>
        </w:pBdr>
        <w:spacing w:before="31" w:line="255" w:lineRule="auto"/>
        <w:ind w:left="810" w:firstLine="709"/>
        <w:jc w:val="both"/>
        <w:rPr>
          <w:rFonts w:ascii="Times New Roman" w:eastAsia="Times New Roman" w:hAnsi="Times New Roman" w:cs="Times New Roman"/>
          <w:color w:val="000000"/>
          <w:sz w:val="23"/>
          <w:szCs w:val="23"/>
        </w:rPr>
      </w:pPr>
    </w:p>
    <w:p w14:paraId="4C781E9D" w14:textId="77777777" w:rsidR="0094645F" w:rsidRPr="0094645F" w:rsidRDefault="0094645F" w:rsidP="0094645F">
      <w:pPr>
        <w:pBdr>
          <w:top w:val="nil"/>
          <w:left w:val="nil"/>
          <w:bottom w:val="nil"/>
          <w:right w:val="nil"/>
          <w:between w:val="nil"/>
        </w:pBdr>
        <w:spacing w:before="31" w:line="255" w:lineRule="auto"/>
        <w:ind w:left="810" w:firstLine="709"/>
        <w:jc w:val="both"/>
        <w:rPr>
          <w:rFonts w:ascii="Times New Roman" w:eastAsia="Times New Roman" w:hAnsi="Times New Roman" w:cs="Times New Roman"/>
          <w:color w:val="000000"/>
          <w:sz w:val="23"/>
          <w:szCs w:val="23"/>
        </w:rPr>
      </w:pPr>
      <w:r w:rsidRPr="0094645F">
        <w:rPr>
          <w:rFonts w:ascii="Times New Roman" w:eastAsia="Times New Roman" w:hAnsi="Times New Roman" w:cs="Times New Roman"/>
          <w:b/>
          <w:color w:val="000000"/>
          <w:sz w:val="23"/>
          <w:szCs w:val="23"/>
        </w:rPr>
        <w:t>NOW</w:t>
      </w:r>
      <w:r>
        <w:rPr>
          <w:rFonts w:ascii="Times New Roman" w:eastAsia="Times New Roman" w:hAnsi="Times New Roman" w:cs="Times New Roman"/>
          <w:b/>
          <w:color w:val="000000"/>
          <w:sz w:val="23"/>
          <w:szCs w:val="23"/>
        </w:rPr>
        <w:t>,</w:t>
      </w:r>
      <w:r w:rsidRPr="0094645F">
        <w:rPr>
          <w:rFonts w:ascii="Times New Roman" w:eastAsia="Times New Roman" w:hAnsi="Times New Roman" w:cs="Times New Roman"/>
          <w:b/>
          <w:color w:val="000000"/>
          <w:sz w:val="23"/>
          <w:szCs w:val="23"/>
        </w:rPr>
        <w:t xml:space="preserve"> THEREFORE, </w:t>
      </w:r>
      <w:r w:rsidRPr="0094645F">
        <w:rPr>
          <w:rFonts w:ascii="Times New Roman" w:eastAsia="Times New Roman" w:hAnsi="Times New Roman" w:cs="Times New Roman"/>
          <w:color w:val="000000"/>
          <w:sz w:val="23"/>
          <w:szCs w:val="23"/>
        </w:rPr>
        <w:t xml:space="preserve">in consideration of the mutual promises and obligations contained herein, BCC </w:t>
      </w:r>
      <w:r>
        <w:rPr>
          <w:rFonts w:ascii="Times New Roman" w:eastAsia="Times New Roman" w:hAnsi="Times New Roman" w:cs="Times New Roman"/>
          <w:color w:val="000000"/>
          <w:sz w:val="23"/>
          <w:szCs w:val="23"/>
        </w:rPr>
        <w:t xml:space="preserve">and the Board </w:t>
      </w:r>
      <w:r w:rsidRPr="0094645F">
        <w:rPr>
          <w:rFonts w:ascii="Times New Roman" w:eastAsia="Times New Roman" w:hAnsi="Times New Roman" w:cs="Times New Roman"/>
          <w:color w:val="000000"/>
          <w:sz w:val="23"/>
          <w:szCs w:val="23"/>
        </w:rPr>
        <w:t>agree</w:t>
      </w:r>
      <w:r>
        <w:rPr>
          <w:rFonts w:ascii="Times New Roman" w:eastAsia="Times New Roman" w:hAnsi="Times New Roman" w:cs="Times New Roman"/>
          <w:color w:val="000000"/>
          <w:sz w:val="23"/>
          <w:szCs w:val="23"/>
        </w:rPr>
        <w:t>,</w:t>
      </w:r>
      <w:r w:rsidRPr="0094645F">
        <w:rPr>
          <w:rFonts w:ascii="Times New Roman" w:eastAsia="Times New Roman" w:hAnsi="Times New Roman" w:cs="Times New Roman"/>
          <w:color w:val="000000"/>
          <w:sz w:val="23"/>
          <w:szCs w:val="23"/>
        </w:rPr>
        <w:t xml:space="preserve"> as follows:</w:t>
      </w:r>
    </w:p>
    <w:p w14:paraId="10FEC45C" w14:textId="77777777" w:rsidR="00EC4EAC" w:rsidRDefault="00EC4EAC" w:rsidP="00784237">
      <w:pPr>
        <w:spacing w:before="11"/>
        <w:rPr>
          <w:rFonts w:ascii="Times New Roman" w:eastAsia="Times New Roman" w:hAnsi="Times New Roman" w:cs="Times New Roman"/>
          <w:b/>
        </w:rPr>
      </w:pPr>
    </w:p>
    <w:p w14:paraId="18BFC714" w14:textId="52CF5E48" w:rsidR="00EC4EAC" w:rsidRDefault="0069563D">
      <w:pPr>
        <w:pBdr>
          <w:top w:val="nil"/>
          <w:left w:val="nil"/>
          <w:bottom w:val="nil"/>
          <w:right w:val="nil"/>
          <w:between w:val="nil"/>
        </w:pBdr>
        <w:tabs>
          <w:tab w:val="left" w:pos="4410"/>
          <w:tab w:val="left" w:pos="8007"/>
        </w:tabs>
        <w:spacing w:line="496" w:lineRule="auto"/>
        <w:ind w:left="807" w:right="301"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Dual enrollment</w:t>
      </w:r>
      <w:r w:rsidR="001E6506">
        <w:rPr>
          <w:rFonts w:ascii="Times New Roman" w:eastAsia="Times New Roman" w:hAnsi="Times New Roman" w:cs="Times New Roman"/>
          <w:color w:val="000000"/>
          <w:sz w:val="21"/>
          <w:szCs w:val="21"/>
        </w:rPr>
        <w:t xml:space="preserve"> has been agreed upon for the following B</w:t>
      </w:r>
      <w:r>
        <w:rPr>
          <w:rFonts w:ascii="Times New Roman" w:eastAsia="Times New Roman" w:hAnsi="Times New Roman" w:cs="Times New Roman"/>
          <w:color w:val="000000"/>
          <w:sz w:val="21"/>
          <w:szCs w:val="21"/>
        </w:rPr>
        <w:t>CC</w:t>
      </w:r>
      <w:r w:rsidR="001E6506">
        <w:rPr>
          <w:rFonts w:ascii="Times New Roman" w:eastAsia="Times New Roman" w:hAnsi="Times New Roman" w:cs="Times New Roman"/>
          <w:color w:val="000000"/>
          <w:sz w:val="21"/>
          <w:szCs w:val="21"/>
        </w:rPr>
        <w:t xml:space="preserve"> course equivalencies:*</w:t>
      </w:r>
    </w:p>
    <w:p w14:paraId="104512F3" w14:textId="77777777" w:rsidR="00EC4EAC" w:rsidRDefault="001E6506">
      <w:pPr>
        <w:pBdr>
          <w:top w:val="nil"/>
          <w:left w:val="nil"/>
          <w:bottom w:val="nil"/>
          <w:right w:val="nil"/>
          <w:between w:val="nil"/>
        </w:pBdr>
        <w:tabs>
          <w:tab w:val="left" w:pos="4410"/>
          <w:tab w:val="left" w:pos="8007"/>
        </w:tabs>
        <w:spacing w:line="496" w:lineRule="auto"/>
        <w:ind w:left="807" w:right="301" w:hanging="10"/>
        <w:rPr>
          <w:b/>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u w:val="single"/>
        </w:rPr>
        <w:t>High School</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b/>
          <w:color w:val="000000"/>
          <w:sz w:val="20"/>
          <w:szCs w:val="20"/>
          <w:u w:val="single"/>
        </w:rPr>
        <w:t>College</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u w:val="single"/>
        </w:rPr>
        <w:t>Course  Code</w:t>
      </w:r>
    </w:p>
    <w:p w14:paraId="44F4AF19" w14:textId="77777777" w:rsidR="00EC4EAC" w:rsidRDefault="001E6506">
      <w:pPr>
        <w:pBdr>
          <w:top w:val="nil"/>
          <w:left w:val="nil"/>
          <w:bottom w:val="nil"/>
          <w:right w:val="nil"/>
          <w:between w:val="nil"/>
        </w:pBdr>
        <w:tabs>
          <w:tab w:val="left" w:pos="4410"/>
          <w:tab w:val="left" w:pos="8007"/>
        </w:tabs>
        <w:ind w:right="255"/>
        <w:rPr>
          <w:b/>
        </w:rPr>
      </w:pPr>
      <w:r>
        <w:t xml:space="preserve">                </w:t>
      </w:r>
      <w:r>
        <w:rPr>
          <w:b/>
        </w:rPr>
        <w:t>Music Technology I, II, III</w:t>
      </w:r>
      <w:r>
        <w:t xml:space="preserve">                   </w:t>
      </w:r>
      <w:r>
        <w:rPr>
          <w:b/>
        </w:rPr>
        <w:t xml:space="preserve"> Music Production </w:t>
      </w:r>
      <w:r>
        <w:t xml:space="preserve">             </w:t>
      </w:r>
      <w:r>
        <w:rPr>
          <w:b/>
        </w:rPr>
        <w:t xml:space="preserve"> </w:t>
      </w:r>
      <w:r>
        <w:rPr>
          <w:b/>
        </w:rPr>
        <w:tab/>
        <w:t>Mus-151, 3 credits</w:t>
      </w:r>
    </w:p>
    <w:p w14:paraId="79EE1C1C" w14:textId="77777777" w:rsidR="00EC4EAC" w:rsidRDefault="00EC4EAC">
      <w:pPr>
        <w:pBdr>
          <w:top w:val="nil"/>
          <w:left w:val="nil"/>
          <w:bottom w:val="nil"/>
          <w:right w:val="nil"/>
          <w:between w:val="nil"/>
        </w:pBdr>
        <w:tabs>
          <w:tab w:val="left" w:pos="4410"/>
          <w:tab w:val="left" w:pos="8007"/>
        </w:tabs>
        <w:ind w:right="255"/>
        <w:rPr>
          <w:b/>
        </w:rPr>
      </w:pPr>
    </w:p>
    <w:p w14:paraId="3EB949B2" w14:textId="7860D169" w:rsidR="00EC4EAC" w:rsidRDefault="001E6506" w:rsidP="00784237">
      <w:pPr>
        <w:pBdr>
          <w:top w:val="nil"/>
          <w:left w:val="nil"/>
          <w:bottom w:val="nil"/>
          <w:right w:val="nil"/>
          <w:between w:val="nil"/>
        </w:pBdr>
        <w:spacing w:before="74" w:line="291" w:lineRule="auto"/>
        <w:ind w:left="796" w:right="121" w:hanging="7"/>
        <w:jc w:val="both"/>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These course</w:t>
      </w:r>
      <w:r>
        <w:rPr>
          <w:rFonts w:ascii="Times New Roman" w:eastAsia="Times New Roman" w:hAnsi="Times New Roman" w:cs="Times New Roman"/>
          <w:i/>
          <w:sz w:val="21"/>
          <w:szCs w:val="21"/>
        </w:rPr>
        <w:t>s will be off</w:t>
      </w:r>
      <w:r>
        <w:rPr>
          <w:rFonts w:ascii="Times New Roman" w:eastAsia="Times New Roman" w:hAnsi="Times New Roman" w:cs="Times New Roman"/>
          <w:i/>
          <w:color w:val="000000"/>
          <w:sz w:val="21"/>
          <w:szCs w:val="21"/>
        </w:rPr>
        <w:t>ered to students who are prepared to meet r</w:t>
      </w:r>
      <w:r>
        <w:rPr>
          <w:rFonts w:ascii="Times New Roman" w:eastAsia="Times New Roman" w:hAnsi="Times New Roman" w:cs="Times New Roman"/>
          <w:i/>
          <w:sz w:val="21"/>
          <w:szCs w:val="21"/>
        </w:rPr>
        <w:t xml:space="preserve">igorous academic requirements and demonstrate the ability to successfully complete the course. These courses </w:t>
      </w:r>
      <w:r>
        <w:rPr>
          <w:rFonts w:ascii="Times New Roman" w:eastAsia="Times New Roman" w:hAnsi="Times New Roman" w:cs="Times New Roman"/>
          <w:i/>
          <w:color w:val="000000"/>
          <w:sz w:val="21"/>
          <w:szCs w:val="21"/>
        </w:rPr>
        <w:t xml:space="preserve">carry the equivalent number of college credits that traditional college students receive for taking the course(s) at </w:t>
      </w:r>
      <w:r w:rsidR="000C582A">
        <w:rPr>
          <w:rFonts w:ascii="Times New Roman" w:eastAsia="Times New Roman" w:hAnsi="Times New Roman" w:cs="Times New Roman"/>
          <w:i/>
          <w:color w:val="000000"/>
          <w:sz w:val="21"/>
          <w:szCs w:val="21"/>
        </w:rPr>
        <w:t>BCC</w:t>
      </w:r>
      <w:r>
        <w:rPr>
          <w:rFonts w:ascii="Times New Roman" w:eastAsia="Times New Roman" w:hAnsi="Times New Roman" w:cs="Times New Roman"/>
          <w:i/>
          <w:color w:val="000000"/>
          <w:sz w:val="21"/>
          <w:szCs w:val="21"/>
        </w:rPr>
        <w:t>:</w:t>
      </w:r>
    </w:p>
    <w:p w14:paraId="654CFE50" w14:textId="77777777" w:rsidR="00EC4EAC" w:rsidRDefault="00EC4EAC" w:rsidP="00784237">
      <w:pPr>
        <w:spacing w:before="3"/>
        <w:jc w:val="both"/>
        <w:rPr>
          <w:rFonts w:ascii="Times New Roman" w:eastAsia="Times New Roman" w:hAnsi="Times New Roman" w:cs="Times New Roman"/>
          <w:sz w:val="21"/>
          <w:szCs w:val="21"/>
        </w:rPr>
      </w:pPr>
    </w:p>
    <w:p w14:paraId="55C53C4C" w14:textId="7F742878" w:rsidR="00EC4EAC" w:rsidRPr="00784237" w:rsidRDefault="001E6506">
      <w:pPr>
        <w:numPr>
          <w:ilvl w:val="0"/>
          <w:numId w:val="2"/>
        </w:numPr>
        <w:pBdr>
          <w:top w:val="nil"/>
          <w:left w:val="nil"/>
          <w:bottom w:val="nil"/>
          <w:right w:val="nil"/>
          <w:between w:val="nil"/>
        </w:pBdr>
        <w:tabs>
          <w:tab w:val="left" w:pos="1142"/>
        </w:tabs>
        <w:spacing w:line="294" w:lineRule="auto"/>
        <w:ind w:right="116" w:hanging="342"/>
        <w:jc w:val="both"/>
        <w:rPr>
          <w:rFonts w:ascii="Times New Roman" w:hAnsi="Times New Roman" w:cs="Times New Roman"/>
        </w:rPr>
      </w:pPr>
      <w:r w:rsidRPr="00784237">
        <w:rPr>
          <w:rFonts w:ascii="Times New Roman" w:eastAsia="Times New Roman" w:hAnsi="Times New Roman" w:cs="Times New Roman"/>
          <w:color w:val="000000"/>
        </w:rPr>
        <w:t>The cours</w:t>
      </w:r>
      <w:r w:rsidRPr="00784237">
        <w:rPr>
          <w:rFonts w:ascii="Times New Roman" w:eastAsia="Times New Roman" w:hAnsi="Times New Roman" w:cs="Times New Roman"/>
        </w:rPr>
        <w:t>e</w:t>
      </w:r>
      <w:r w:rsidR="000C582A" w:rsidRPr="00784237">
        <w:rPr>
          <w:rFonts w:ascii="Times New Roman" w:eastAsia="Times New Roman" w:hAnsi="Times New Roman" w:cs="Times New Roman"/>
        </w:rPr>
        <w:t>s</w:t>
      </w:r>
      <w:r w:rsidRPr="00784237">
        <w:rPr>
          <w:rFonts w:ascii="Times New Roman" w:eastAsia="Times New Roman" w:hAnsi="Times New Roman" w:cs="Times New Roman"/>
        </w:rPr>
        <w:t xml:space="preserve"> will be t</w:t>
      </w:r>
      <w:r w:rsidRPr="00784237">
        <w:rPr>
          <w:rFonts w:ascii="Times New Roman" w:eastAsia="Times New Roman" w:hAnsi="Times New Roman" w:cs="Times New Roman"/>
          <w:color w:val="000000"/>
        </w:rPr>
        <w:t>aught by high school faculty with appropriate credentials*. The qualification of prospective dual enrollment teacher</w:t>
      </w:r>
      <w:r w:rsidRPr="00784237">
        <w:rPr>
          <w:rFonts w:ascii="Times New Roman" w:eastAsia="Times New Roman" w:hAnsi="Times New Roman" w:cs="Times New Roman"/>
        </w:rPr>
        <w:t>s will be</w:t>
      </w:r>
      <w:r w:rsidRPr="00784237">
        <w:rPr>
          <w:rFonts w:ascii="Times New Roman" w:eastAsia="Times New Roman" w:hAnsi="Times New Roman" w:cs="Times New Roman"/>
          <w:color w:val="000000"/>
        </w:rPr>
        <w:t xml:space="preserve"> determined by the B</w:t>
      </w:r>
      <w:r w:rsidR="000C582A" w:rsidRPr="00784237">
        <w:rPr>
          <w:rFonts w:ascii="Times New Roman" w:eastAsia="Times New Roman" w:hAnsi="Times New Roman" w:cs="Times New Roman"/>
          <w:color w:val="000000"/>
        </w:rPr>
        <w:t>CC</w:t>
      </w:r>
      <w:r w:rsidRPr="00784237">
        <w:rPr>
          <w:rFonts w:ascii="Times New Roman" w:eastAsia="Times New Roman" w:hAnsi="Times New Roman" w:cs="Times New Roman"/>
          <w:color w:val="000000"/>
        </w:rPr>
        <w:t xml:space="preserve"> Chair</w:t>
      </w:r>
      <w:r w:rsidR="000C582A" w:rsidRPr="00784237">
        <w:rPr>
          <w:rFonts w:ascii="Times New Roman" w:eastAsia="Times New Roman" w:hAnsi="Times New Roman" w:cs="Times New Roman"/>
          <w:color w:val="000000"/>
        </w:rPr>
        <w:t>person</w:t>
      </w:r>
      <w:r w:rsidRPr="00784237">
        <w:rPr>
          <w:rFonts w:ascii="Times New Roman" w:eastAsia="Times New Roman" w:hAnsi="Times New Roman" w:cs="Times New Roman"/>
          <w:color w:val="000000"/>
        </w:rPr>
        <w:t xml:space="preserve"> in consultation with </w:t>
      </w:r>
      <w:r w:rsidR="000C582A" w:rsidRPr="00784237">
        <w:rPr>
          <w:rFonts w:ascii="Times New Roman" w:eastAsia="Times New Roman" w:hAnsi="Times New Roman" w:cs="Times New Roman"/>
          <w:color w:val="000000"/>
        </w:rPr>
        <w:t>BCC</w:t>
      </w:r>
      <w:r w:rsidRPr="00784237">
        <w:rPr>
          <w:rFonts w:ascii="Times New Roman" w:eastAsia="Times New Roman" w:hAnsi="Times New Roman" w:cs="Times New Roman"/>
          <w:color w:val="000000"/>
        </w:rPr>
        <w:t>'s Divisional  Dean,  thus  ensuring  the  B</w:t>
      </w:r>
      <w:r w:rsidR="000C582A" w:rsidRPr="00784237">
        <w:rPr>
          <w:rFonts w:ascii="Times New Roman" w:eastAsia="Times New Roman" w:hAnsi="Times New Roman" w:cs="Times New Roman"/>
          <w:color w:val="000000"/>
        </w:rPr>
        <w:t>CC</w:t>
      </w:r>
      <w:r w:rsidRPr="00784237">
        <w:rPr>
          <w:rFonts w:ascii="Times New Roman" w:eastAsia="Times New Roman" w:hAnsi="Times New Roman" w:cs="Times New Roman"/>
          <w:color w:val="000000"/>
        </w:rPr>
        <w:t xml:space="preserve"> Academic Department's requirements for teaching th</w:t>
      </w:r>
      <w:r w:rsidR="000C582A" w:rsidRPr="00784237">
        <w:rPr>
          <w:rFonts w:ascii="Times New Roman" w:eastAsia="Times New Roman" w:hAnsi="Times New Roman" w:cs="Times New Roman"/>
          <w:color w:val="000000"/>
        </w:rPr>
        <w:t>is</w:t>
      </w:r>
      <w:r w:rsidRPr="00784237">
        <w:rPr>
          <w:rFonts w:ascii="Times New Roman" w:eastAsia="Times New Roman" w:hAnsi="Times New Roman" w:cs="Times New Roman"/>
          <w:color w:val="000000"/>
        </w:rPr>
        <w:t xml:space="preserve"> college level course. </w:t>
      </w:r>
      <w:r w:rsidR="000C582A" w:rsidRPr="00784237">
        <w:rPr>
          <w:rFonts w:ascii="Times New Roman" w:eastAsia="Times New Roman" w:hAnsi="Times New Roman" w:cs="Times New Roman"/>
          <w:color w:val="000000"/>
        </w:rPr>
        <w:t xml:space="preserve"> </w:t>
      </w:r>
      <w:r w:rsidRPr="00784237">
        <w:rPr>
          <w:rFonts w:ascii="Times New Roman" w:eastAsia="Times New Roman" w:hAnsi="Times New Roman" w:cs="Times New Roman"/>
          <w:color w:val="000000"/>
        </w:rPr>
        <w:t>Professional development  hour</w:t>
      </w:r>
      <w:r w:rsidRPr="00784237">
        <w:rPr>
          <w:rFonts w:ascii="Times New Roman" w:eastAsia="Times New Roman" w:hAnsi="Times New Roman" w:cs="Times New Roman"/>
        </w:rPr>
        <w:t>s will b</w:t>
      </w:r>
      <w:r w:rsidRPr="00784237">
        <w:rPr>
          <w:rFonts w:ascii="Times New Roman" w:eastAsia="Times New Roman" w:hAnsi="Times New Roman" w:cs="Times New Roman"/>
          <w:color w:val="000000"/>
        </w:rPr>
        <w:t>e granted to the instructors for their participation in this program.</w:t>
      </w:r>
    </w:p>
    <w:p w14:paraId="0AA70568" w14:textId="77777777" w:rsidR="00EC4EAC" w:rsidRPr="00784237" w:rsidRDefault="00EC4EAC">
      <w:pPr>
        <w:spacing w:before="5"/>
        <w:rPr>
          <w:rFonts w:ascii="Times New Roman" w:eastAsia="Times New Roman" w:hAnsi="Times New Roman" w:cs="Times New Roman"/>
        </w:rPr>
      </w:pPr>
    </w:p>
    <w:p w14:paraId="4487196F" w14:textId="3A1C5E46" w:rsidR="00EC4EAC" w:rsidRPr="00784237" w:rsidRDefault="001E6506">
      <w:pPr>
        <w:numPr>
          <w:ilvl w:val="0"/>
          <w:numId w:val="2"/>
        </w:numPr>
        <w:pBdr>
          <w:top w:val="nil"/>
          <w:left w:val="nil"/>
          <w:bottom w:val="nil"/>
          <w:right w:val="nil"/>
          <w:between w:val="nil"/>
        </w:pBdr>
        <w:tabs>
          <w:tab w:val="left" w:pos="1150"/>
        </w:tabs>
        <w:spacing w:line="293" w:lineRule="auto"/>
        <w:ind w:right="121" w:hanging="355"/>
        <w:jc w:val="both"/>
        <w:rPr>
          <w:rFonts w:ascii="Times New Roman" w:hAnsi="Times New Roman" w:cs="Times New Roman"/>
        </w:rPr>
      </w:pPr>
      <w:r w:rsidRPr="00784237">
        <w:rPr>
          <w:rFonts w:ascii="Times New Roman" w:eastAsia="Arial" w:hAnsi="Times New Roman" w:cs="Times New Roman"/>
          <w:color w:val="000000"/>
        </w:rPr>
        <w:t xml:space="preserve">In </w:t>
      </w:r>
      <w:r w:rsidRPr="00784237">
        <w:rPr>
          <w:rFonts w:ascii="Times New Roman" w:eastAsia="Times New Roman" w:hAnsi="Times New Roman" w:cs="Times New Roman"/>
          <w:color w:val="000000"/>
        </w:rPr>
        <w:t>the event that the pre-approved teacher is no longer conducting the dual</w:t>
      </w:r>
      <w:r w:rsidR="000C582A" w:rsidRPr="00784237">
        <w:rPr>
          <w:rFonts w:ascii="Times New Roman" w:eastAsia="Times New Roman" w:hAnsi="Times New Roman" w:cs="Times New Roman"/>
          <w:color w:val="000000"/>
        </w:rPr>
        <w:t>-</w:t>
      </w:r>
      <w:r w:rsidRPr="00784237">
        <w:rPr>
          <w:rFonts w:ascii="Times New Roman" w:eastAsia="Times New Roman" w:hAnsi="Times New Roman" w:cs="Times New Roman"/>
          <w:color w:val="000000"/>
        </w:rPr>
        <w:t xml:space="preserve">enrolled class, at that time, the </w:t>
      </w:r>
      <w:r w:rsidR="000C582A" w:rsidRPr="00784237">
        <w:rPr>
          <w:rFonts w:ascii="Times New Roman" w:eastAsia="Times New Roman" w:hAnsi="Times New Roman" w:cs="Times New Roman"/>
          <w:color w:val="000000"/>
        </w:rPr>
        <w:t xml:space="preserve">Board must designate and </w:t>
      </w:r>
      <w:r w:rsidRPr="00784237">
        <w:rPr>
          <w:rFonts w:ascii="Times New Roman" w:eastAsia="Times New Roman" w:hAnsi="Times New Roman" w:cs="Times New Roman"/>
          <w:color w:val="000000"/>
        </w:rPr>
        <w:t>submit the proper documentation in the form of transcripts and curriculum vitae in order to approve that teacher's replacement. College cred</w:t>
      </w:r>
      <w:r w:rsidRPr="00784237">
        <w:rPr>
          <w:rFonts w:ascii="Times New Roman" w:eastAsia="Times New Roman" w:hAnsi="Times New Roman" w:cs="Times New Roman"/>
        </w:rPr>
        <w:t>it will be gr</w:t>
      </w:r>
      <w:r w:rsidRPr="00784237">
        <w:rPr>
          <w:rFonts w:ascii="Times New Roman" w:eastAsia="Times New Roman" w:hAnsi="Times New Roman" w:cs="Times New Roman"/>
          <w:color w:val="000000"/>
        </w:rPr>
        <w:t>anted only upon approval of replacement teacher's credentials.</w:t>
      </w:r>
    </w:p>
    <w:p w14:paraId="0DE78913" w14:textId="77777777" w:rsidR="00EC4EAC" w:rsidRPr="00784237" w:rsidRDefault="00EC4EAC">
      <w:pPr>
        <w:spacing w:before="7"/>
        <w:rPr>
          <w:rFonts w:ascii="Times New Roman" w:eastAsia="Times New Roman" w:hAnsi="Times New Roman" w:cs="Times New Roman"/>
        </w:rPr>
      </w:pPr>
    </w:p>
    <w:p w14:paraId="068257E7" w14:textId="5FA1046B" w:rsidR="00EC4EAC" w:rsidRPr="00784237" w:rsidRDefault="001E6506">
      <w:pPr>
        <w:numPr>
          <w:ilvl w:val="0"/>
          <w:numId w:val="2"/>
        </w:numPr>
        <w:pBdr>
          <w:top w:val="nil"/>
          <w:left w:val="nil"/>
          <w:bottom w:val="nil"/>
          <w:right w:val="nil"/>
          <w:between w:val="nil"/>
        </w:pBdr>
        <w:tabs>
          <w:tab w:val="left" w:pos="1139"/>
        </w:tabs>
        <w:spacing w:line="293" w:lineRule="auto"/>
        <w:ind w:left="1149" w:right="123" w:hanging="360"/>
        <w:jc w:val="both"/>
        <w:rPr>
          <w:rFonts w:ascii="Times New Roman" w:hAnsi="Times New Roman" w:cs="Times New Roman"/>
        </w:rPr>
      </w:pPr>
      <w:r w:rsidRPr="00784237">
        <w:rPr>
          <w:rFonts w:ascii="Times New Roman" w:eastAsia="Times New Roman" w:hAnsi="Times New Roman" w:cs="Times New Roman"/>
          <w:color w:val="000000"/>
        </w:rPr>
        <w:t xml:space="preserve">The </w:t>
      </w:r>
      <w:r w:rsidR="000C582A" w:rsidRPr="00784237">
        <w:rPr>
          <w:rFonts w:ascii="Times New Roman" w:eastAsia="Times New Roman" w:hAnsi="Times New Roman" w:cs="Times New Roman"/>
          <w:color w:val="000000"/>
        </w:rPr>
        <w:t xml:space="preserve">Board </w:t>
      </w:r>
      <w:r w:rsidRPr="00784237">
        <w:rPr>
          <w:rFonts w:ascii="Times New Roman" w:eastAsia="Times New Roman" w:hAnsi="Times New Roman" w:cs="Times New Roman"/>
          <w:color w:val="000000"/>
        </w:rPr>
        <w:t>agrees to incorporate the course content, assignments, assessments and expected outcomes contained in the BCC syllabus into their classroom curriculum. The dual</w:t>
      </w:r>
      <w:r w:rsidR="000C582A" w:rsidRPr="00784237">
        <w:rPr>
          <w:rFonts w:ascii="Times New Roman" w:eastAsia="Times New Roman" w:hAnsi="Times New Roman" w:cs="Times New Roman"/>
          <w:color w:val="000000"/>
        </w:rPr>
        <w:t>-</w:t>
      </w:r>
      <w:r w:rsidRPr="00784237">
        <w:rPr>
          <w:rFonts w:ascii="Times New Roman" w:eastAsia="Times New Roman" w:hAnsi="Times New Roman" w:cs="Times New Roman"/>
          <w:color w:val="000000"/>
        </w:rPr>
        <w:t xml:space="preserve">enrollment courses must be conducted in accordance with the posted </w:t>
      </w:r>
      <w:r w:rsidR="000C582A" w:rsidRPr="00784237">
        <w:rPr>
          <w:rFonts w:ascii="Times New Roman" w:eastAsia="Times New Roman" w:hAnsi="Times New Roman" w:cs="Times New Roman"/>
          <w:color w:val="000000"/>
        </w:rPr>
        <w:t xml:space="preserve">BCC </w:t>
      </w:r>
      <w:r w:rsidRPr="00784237">
        <w:rPr>
          <w:rFonts w:ascii="Times New Roman" w:eastAsia="Times New Roman" w:hAnsi="Times New Roman" w:cs="Times New Roman"/>
          <w:color w:val="000000"/>
        </w:rPr>
        <w:t xml:space="preserve">schedule. To </w:t>
      </w:r>
      <w:r w:rsidR="000C582A" w:rsidRPr="00784237">
        <w:rPr>
          <w:rFonts w:ascii="Times New Roman" w:eastAsia="Times New Roman" w:hAnsi="Times New Roman" w:cs="Times New Roman"/>
          <w:color w:val="000000"/>
        </w:rPr>
        <w:t xml:space="preserve">meet </w:t>
      </w:r>
      <w:r w:rsidRPr="00784237">
        <w:rPr>
          <w:rFonts w:ascii="Times New Roman" w:eastAsia="Times New Roman" w:hAnsi="Times New Roman" w:cs="Times New Roman"/>
          <w:color w:val="000000"/>
        </w:rPr>
        <w:t>the requirements of credit cont</w:t>
      </w:r>
      <w:r w:rsidRPr="00784237">
        <w:rPr>
          <w:rFonts w:ascii="Times New Roman" w:eastAsia="Times New Roman" w:hAnsi="Times New Roman" w:cs="Times New Roman"/>
        </w:rPr>
        <w:t xml:space="preserve">act hours, the duration of each course must match or exceed the number of weeks per semester established by </w:t>
      </w:r>
      <w:r w:rsidR="000C582A" w:rsidRPr="00784237">
        <w:rPr>
          <w:rFonts w:ascii="Times New Roman" w:eastAsia="Times New Roman" w:hAnsi="Times New Roman" w:cs="Times New Roman"/>
        </w:rPr>
        <w:t>BCC</w:t>
      </w:r>
      <w:r w:rsidRPr="00784237">
        <w:rPr>
          <w:rFonts w:ascii="Times New Roman" w:eastAsia="Times New Roman" w:hAnsi="Times New Roman" w:cs="Times New Roman"/>
        </w:rPr>
        <w:t>.</w:t>
      </w:r>
    </w:p>
    <w:p w14:paraId="042EDC24" w14:textId="77777777" w:rsidR="00EC4EAC" w:rsidRPr="00784237" w:rsidRDefault="00EC4EAC">
      <w:pPr>
        <w:spacing w:before="10"/>
        <w:rPr>
          <w:rFonts w:ascii="Times New Roman" w:eastAsia="Times New Roman" w:hAnsi="Times New Roman" w:cs="Times New Roman"/>
        </w:rPr>
      </w:pPr>
    </w:p>
    <w:p w14:paraId="14BFF6FF" w14:textId="3158815B" w:rsidR="00EC4EAC" w:rsidRPr="0069563D" w:rsidRDefault="001E6506">
      <w:pPr>
        <w:numPr>
          <w:ilvl w:val="0"/>
          <w:numId w:val="1"/>
        </w:numPr>
        <w:tabs>
          <w:tab w:val="left" w:pos="1146"/>
        </w:tabs>
        <w:spacing w:line="284" w:lineRule="auto"/>
        <w:ind w:left="1152" w:right="127" w:hanging="348"/>
        <w:jc w:val="both"/>
        <w:rPr>
          <w:rFonts w:ascii="Times New Roman" w:eastAsia="Times New Roman" w:hAnsi="Times New Roman" w:cs="Times New Roman"/>
        </w:rPr>
      </w:pPr>
      <w:r w:rsidRPr="00784237">
        <w:rPr>
          <w:rFonts w:ascii="Times New Roman" w:eastAsia="Times New Roman" w:hAnsi="Times New Roman" w:cs="Times New Roman"/>
        </w:rPr>
        <w:t>The dual</w:t>
      </w:r>
      <w:r w:rsidR="000C582A" w:rsidRPr="00784237">
        <w:rPr>
          <w:rFonts w:ascii="Times New Roman" w:eastAsia="Times New Roman" w:hAnsi="Times New Roman" w:cs="Times New Roman"/>
        </w:rPr>
        <w:t>-</w:t>
      </w:r>
      <w:r w:rsidRPr="00784237">
        <w:rPr>
          <w:rFonts w:ascii="Times New Roman" w:eastAsia="Times New Roman" w:hAnsi="Times New Roman" w:cs="Times New Roman"/>
        </w:rPr>
        <w:t>enrollment staff of B</w:t>
      </w:r>
      <w:r w:rsidR="000C582A" w:rsidRPr="00784237">
        <w:rPr>
          <w:rFonts w:ascii="Times New Roman" w:eastAsia="Times New Roman" w:hAnsi="Times New Roman" w:cs="Times New Roman"/>
        </w:rPr>
        <w:t>CC</w:t>
      </w:r>
      <w:r w:rsidRPr="00784237">
        <w:rPr>
          <w:rFonts w:ascii="Times New Roman" w:eastAsia="Times New Roman" w:hAnsi="Times New Roman" w:cs="Times New Roman"/>
        </w:rPr>
        <w:t xml:space="preserve"> will conduct semi-annual classroom observations and/or meetings with the high school teacher to review the course syllabus and collect samples of completed assignments and assessments.</w:t>
      </w:r>
    </w:p>
    <w:p w14:paraId="237344AB" w14:textId="77777777" w:rsidR="00EC4EAC" w:rsidRPr="00784237" w:rsidRDefault="00EC4EAC">
      <w:pPr>
        <w:spacing w:before="7"/>
        <w:rPr>
          <w:rFonts w:ascii="Times New Roman" w:eastAsia="Times New Roman" w:hAnsi="Times New Roman" w:cs="Times New Roman"/>
        </w:rPr>
      </w:pPr>
    </w:p>
    <w:p w14:paraId="181E1829" w14:textId="78AB8B37" w:rsidR="00EC4EAC" w:rsidRPr="0069563D" w:rsidRDefault="00166806">
      <w:pPr>
        <w:numPr>
          <w:ilvl w:val="0"/>
          <w:numId w:val="1"/>
        </w:numPr>
        <w:tabs>
          <w:tab w:val="left" w:pos="1207"/>
        </w:tabs>
        <w:spacing w:line="282" w:lineRule="auto"/>
        <w:ind w:left="1149" w:right="125" w:hanging="353"/>
        <w:jc w:val="both"/>
        <w:rPr>
          <w:rFonts w:ascii="Times New Roman" w:eastAsia="Times New Roman" w:hAnsi="Times New Roman" w:cs="Times New Roman"/>
        </w:rPr>
      </w:pPr>
      <w:r>
        <w:rPr>
          <w:rFonts w:ascii="Times New Roman" w:eastAsia="Times New Roman" w:hAnsi="Times New Roman" w:cs="Times New Roman"/>
        </w:rPr>
        <w:t xml:space="preserve">The Board </w:t>
      </w:r>
      <w:r w:rsidR="001E6506" w:rsidRPr="00784237">
        <w:rPr>
          <w:rFonts w:ascii="Times New Roman" w:eastAsia="Times New Roman" w:hAnsi="Times New Roman" w:cs="Times New Roman"/>
        </w:rPr>
        <w:t>will be charged for the course</w:t>
      </w:r>
      <w:r>
        <w:rPr>
          <w:rFonts w:ascii="Times New Roman" w:eastAsia="Times New Roman" w:hAnsi="Times New Roman" w:cs="Times New Roman"/>
        </w:rPr>
        <w:t>s students take</w:t>
      </w:r>
      <w:r w:rsidR="001E6506" w:rsidRPr="00784237">
        <w:rPr>
          <w:rFonts w:ascii="Times New Roman" w:eastAsia="Times New Roman" w:hAnsi="Times New Roman" w:cs="Times New Roman"/>
        </w:rPr>
        <w:t>, if they opt for college credits, at 50% of the currently applicable tuition rate based on the geographical location of the school district or school at the time of registration plus a one-time registration fee</w:t>
      </w:r>
      <w:r>
        <w:rPr>
          <w:rFonts w:ascii="Times New Roman" w:eastAsia="Times New Roman" w:hAnsi="Times New Roman" w:cs="Times New Roman"/>
        </w:rPr>
        <w:t xml:space="preserve"> of $15.25 per student</w:t>
      </w:r>
      <w:r w:rsidR="001E6506" w:rsidRPr="00784237">
        <w:rPr>
          <w:rFonts w:ascii="Times New Roman" w:eastAsia="Times New Roman" w:hAnsi="Times New Roman" w:cs="Times New Roman"/>
        </w:rPr>
        <w:t xml:space="preserve">. </w:t>
      </w:r>
      <w:r>
        <w:rPr>
          <w:rFonts w:ascii="Times New Roman" w:eastAsia="Times New Roman" w:hAnsi="Times New Roman" w:cs="Times New Roman"/>
        </w:rPr>
        <w:t>The current out-of-county cost per credit is $301.</w:t>
      </w:r>
      <w:r w:rsidR="00FE7CAF">
        <w:rPr>
          <w:rFonts w:ascii="Times New Roman" w:eastAsia="Times New Roman" w:hAnsi="Times New Roman" w:cs="Times New Roman"/>
        </w:rPr>
        <w:t>0</w:t>
      </w:r>
      <w:r>
        <w:rPr>
          <w:rFonts w:ascii="Times New Roman" w:eastAsia="Times New Roman" w:hAnsi="Times New Roman" w:cs="Times New Roman"/>
        </w:rPr>
        <w:t>0. the dual enrollment 50% discounted rate equates to $150.5</w:t>
      </w:r>
      <w:r w:rsidR="00FE7CAF">
        <w:rPr>
          <w:rFonts w:ascii="Times New Roman" w:eastAsia="Times New Roman" w:hAnsi="Times New Roman" w:cs="Times New Roman"/>
        </w:rPr>
        <w:t>0</w:t>
      </w:r>
      <w:r>
        <w:rPr>
          <w:rFonts w:ascii="Times New Roman" w:eastAsia="Times New Roman" w:hAnsi="Times New Roman" w:cs="Times New Roman"/>
        </w:rPr>
        <w:t xml:space="preserve"> per credit. One 3 credit course would amount to $46</w:t>
      </w:r>
      <w:r w:rsidR="00FE7CAF">
        <w:rPr>
          <w:rFonts w:ascii="Times New Roman" w:eastAsia="Times New Roman" w:hAnsi="Times New Roman" w:cs="Times New Roman"/>
        </w:rPr>
        <w:t>6</w:t>
      </w:r>
      <w:r>
        <w:rPr>
          <w:rFonts w:ascii="Times New Roman" w:eastAsia="Times New Roman" w:hAnsi="Times New Roman" w:cs="Times New Roman"/>
        </w:rPr>
        <w:t>.</w:t>
      </w:r>
      <w:r w:rsidR="00FE7CAF">
        <w:rPr>
          <w:rFonts w:ascii="Times New Roman" w:eastAsia="Times New Roman" w:hAnsi="Times New Roman" w:cs="Times New Roman"/>
        </w:rPr>
        <w:t>7</w:t>
      </w:r>
      <w:r>
        <w:rPr>
          <w:rFonts w:ascii="Times New Roman" w:eastAsia="Times New Roman" w:hAnsi="Times New Roman" w:cs="Times New Roman"/>
        </w:rPr>
        <w:t>5 (</w:t>
      </w:r>
      <w:r w:rsidRPr="007B5BE7">
        <w:rPr>
          <w:rFonts w:ascii="Times New Roman" w:eastAsia="Times New Roman" w:hAnsi="Times New Roman" w:cs="Times New Roman"/>
          <w:i/>
        </w:rPr>
        <w:t>includes $15.25 registration fee</w:t>
      </w:r>
      <w:r>
        <w:rPr>
          <w:rFonts w:ascii="Times New Roman" w:eastAsia="Times New Roman" w:hAnsi="Times New Roman" w:cs="Times New Roman"/>
        </w:rPr>
        <w:t>)</w:t>
      </w:r>
      <w:r w:rsidR="00606679">
        <w:rPr>
          <w:rFonts w:ascii="Times New Roman" w:eastAsia="Times New Roman" w:hAnsi="Times New Roman" w:cs="Times New Roman"/>
        </w:rPr>
        <w:t>.</w:t>
      </w:r>
      <w:r w:rsidR="000C582A" w:rsidRPr="00784237">
        <w:rPr>
          <w:rFonts w:ascii="Times New Roman" w:eastAsia="Times New Roman" w:hAnsi="Times New Roman" w:cs="Times New Roman"/>
        </w:rPr>
        <w:t xml:space="preserve"> </w:t>
      </w:r>
      <w:r w:rsidR="00606679">
        <w:rPr>
          <w:rFonts w:ascii="Times New Roman" w:eastAsia="Times New Roman" w:hAnsi="Times New Roman" w:cs="Times New Roman"/>
        </w:rPr>
        <w:t xml:space="preserve"> </w:t>
      </w:r>
      <w:r w:rsidR="001E6506" w:rsidRPr="00784237">
        <w:rPr>
          <w:rFonts w:ascii="Times New Roman" w:eastAsia="Times New Roman" w:hAnsi="Times New Roman" w:cs="Times New Roman"/>
        </w:rPr>
        <w:t>Students who qualify for free and reduced lunch will</w:t>
      </w:r>
      <w:r>
        <w:rPr>
          <w:rFonts w:ascii="Times New Roman" w:eastAsia="Times New Roman" w:hAnsi="Times New Roman" w:cs="Times New Roman"/>
        </w:rPr>
        <w:t xml:space="preserve"> only require the Board to pay </w:t>
      </w:r>
      <w:r w:rsidR="001E6506" w:rsidRPr="00784237">
        <w:rPr>
          <w:rFonts w:ascii="Times New Roman" w:eastAsia="Times New Roman" w:hAnsi="Times New Roman" w:cs="Times New Roman"/>
        </w:rPr>
        <w:t xml:space="preserve">for only the registration fee </w:t>
      </w:r>
      <w:r>
        <w:rPr>
          <w:rFonts w:ascii="Times New Roman" w:eastAsia="Times New Roman" w:hAnsi="Times New Roman" w:cs="Times New Roman"/>
        </w:rPr>
        <w:t xml:space="preserve">of $15.25 per student </w:t>
      </w:r>
      <w:r w:rsidR="001E6506" w:rsidRPr="00784237">
        <w:rPr>
          <w:rFonts w:ascii="Times New Roman" w:eastAsia="Times New Roman" w:hAnsi="Times New Roman" w:cs="Times New Roman"/>
        </w:rPr>
        <w:t xml:space="preserve">pursuant to </w:t>
      </w:r>
      <w:r w:rsidR="001E6506" w:rsidRPr="00784237">
        <w:rPr>
          <w:rFonts w:ascii="Times New Roman" w:eastAsia="Times New Roman" w:hAnsi="Times New Roman" w:cs="Times New Roman"/>
          <w:u w:val="single"/>
        </w:rPr>
        <w:t>N.J.</w:t>
      </w:r>
      <w:r w:rsidR="000C582A" w:rsidRPr="00784237">
        <w:rPr>
          <w:rFonts w:ascii="Times New Roman" w:eastAsia="Times New Roman" w:hAnsi="Times New Roman" w:cs="Times New Roman"/>
          <w:u w:val="single"/>
        </w:rPr>
        <w:t>S.A.</w:t>
      </w:r>
      <w:r w:rsidR="001E6506" w:rsidRPr="00784237">
        <w:rPr>
          <w:rFonts w:ascii="Times New Roman" w:eastAsia="Times New Roman" w:hAnsi="Times New Roman" w:cs="Times New Roman"/>
        </w:rPr>
        <w:t xml:space="preserve"> 18A:61C-6.</w:t>
      </w:r>
      <w:r>
        <w:rPr>
          <w:rFonts w:ascii="Times New Roman" w:eastAsia="Times New Roman" w:hAnsi="Times New Roman" w:cs="Times New Roman"/>
        </w:rPr>
        <w:t xml:space="preserve"> </w:t>
      </w:r>
      <w:r w:rsidR="00606679">
        <w:rPr>
          <w:rFonts w:ascii="Times New Roman" w:eastAsia="Times New Roman" w:hAnsi="Times New Roman" w:cs="Times New Roman"/>
        </w:rPr>
        <w:t xml:space="preserve"> </w:t>
      </w:r>
      <w:r>
        <w:rPr>
          <w:rFonts w:ascii="Times New Roman" w:eastAsia="Times New Roman" w:hAnsi="Times New Roman" w:cs="Times New Roman"/>
        </w:rPr>
        <w:t>The total amount of monies to be paid by the Board for the services rendered under this Agreement will not exceed forty</w:t>
      </w:r>
      <w:r w:rsidR="00270BC1">
        <w:rPr>
          <w:rFonts w:ascii="Times New Roman" w:eastAsia="Times New Roman" w:hAnsi="Times New Roman" w:cs="Times New Roman"/>
        </w:rPr>
        <w:t>-</w:t>
      </w:r>
      <w:r w:rsidR="00D87067">
        <w:rPr>
          <w:rFonts w:ascii="Times New Roman" w:eastAsia="Times New Roman" w:hAnsi="Times New Roman" w:cs="Times New Roman"/>
        </w:rPr>
        <w:t xml:space="preserve"> </w:t>
      </w:r>
      <w:r>
        <w:rPr>
          <w:rFonts w:ascii="Times New Roman" w:eastAsia="Times New Roman" w:hAnsi="Times New Roman" w:cs="Times New Roman"/>
        </w:rPr>
        <w:t xml:space="preserve">three thousand dollars ($43,000.00). </w:t>
      </w:r>
    </w:p>
    <w:p w14:paraId="55918DAC" w14:textId="77777777" w:rsidR="00EC4EAC" w:rsidRPr="00784237" w:rsidRDefault="00EC4EAC">
      <w:pPr>
        <w:spacing w:before="10"/>
        <w:rPr>
          <w:rFonts w:ascii="Times New Roman" w:eastAsia="Times New Roman" w:hAnsi="Times New Roman" w:cs="Times New Roman"/>
        </w:rPr>
      </w:pPr>
    </w:p>
    <w:p w14:paraId="4BF4E2D7" w14:textId="68622EB6" w:rsidR="00EC4EAC" w:rsidRPr="0069563D" w:rsidRDefault="001E6506">
      <w:pPr>
        <w:numPr>
          <w:ilvl w:val="0"/>
          <w:numId w:val="1"/>
        </w:numPr>
        <w:tabs>
          <w:tab w:val="left" w:pos="1142"/>
        </w:tabs>
        <w:spacing w:line="283" w:lineRule="auto"/>
        <w:ind w:left="1149" w:right="123" w:hanging="357"/>
        <w:jc w:val="both"/>
        <w:rPr>
          <w:rFonts w:ascii="Times New Roman" w:eastAsia="Times New Roman" w:hAnsi="Times New Roman" w:cs="Times New Roman"/>
        </w:rPr>
      </w:pPr>
      <w:r w:rsidRPr="00784237">
        <w:rPr>
          <w:rFonts w:ascii="Times New Roman" w:eastAsia="Times New Roman" w:hAnsi="Times New Roman" w:cs="Times New Roman"/>
        </w:rPr>
        <w:t xml:space="preserve">The </w:t>
      </w:r>
      <w:r w:rsidR="000C582A" w:rsidRPr="00784237">
        <w:rPr>
          <w:rFonts w:ascii="Times New Roman" w:eastAsia="Times New Roman" w:hAnsi="Times New Roman" w:cs="Times New Roman"/>
        </w:rPr>
        <w:t xml:space="preserve">Board </w:t>
      </w:r>
      <w:r w:rsidRPr="00784237">
        <w:rPr>
          <w:rFonts w:ascii="Times New Roman" w:eastAsia="Times New Roman" w:hAnsi="Times New Roman" w:cs="Times New Roman"/>
        </w:rPr>
        <w:t xml:space="preserve">must adopt the grading scale used by </w:t>
      </w:r>
      <w:r w:rsidR="000C582A" w:rsidRPr="00784237">
        <w:rPr>
          <w:rFonts w:ascii="Times New Roman" w:eastAsia="Times New Roman" w:hAnsi="Times New Roman" w:cs="Times New Roman"/>
        </w:rPr>
        <w:t>BCC</w:t>
      </w:r>
      <w:r w:rsidRPr="00784237">
        <w:rPr>
          <w:rFonts w:ascii="Times New Roman" w:eastAsia="Times New Roman" w:hAnsi="Times New Roman" w:cs="Times New Roman"/>
        </w:rPr>
        <w:t xml:space="preserve">. Grades for the inter-institutional courses </w:t>
      </w:r>
      <w:r w:rsidRPr="00784237">
        <w:rPr>
          <w:rFonts w:ascii="Times New Roman" w:eastAsia="Arial" w:hAnsi="Times New Roman" w:cs="Times New Roman"/>
        </w:rPr>
        <w:t xml:space="preserve">will </w:t>
      </w:r>
      <w:r w:rsidRPr="00784237">
        <w:rPr>
          <w:rFonts w:ascii="Times New Roman" w:eastAsia="Times New Roman" w:hAnsi="Times New Roman" w:cs="Times New Roman"/>
        </w:rPr>
        <w:t>be reflected on B</w:t>
      </w:r>
      <w:r w:rsidR="00221A1F" w:rsidRPr="00784237">
        <w:rPr>
          <w:rFonts w:ascii="Times New Roman" w:eastAsia="Times New Roman" w:hAnsi="Times New Roman" w:cs="Times New Roman"/>
        </w:rPr>
        <w:t>CC</w:t>
      </w:r>
      <w:r w:rsidRPr="00784237">
        <w:rPr>
          <w:rFonts w:ascii="Times New Roman" w:eastAsia="Times New Roman" w:hAnsi="Times New Roman" w:cs="Times New Roman"/>
        </w:rPr>
        <w:t xml:space="preserve">'s Spring semester transcript. </w:t>
      </w:r>
      <w:r w:rsidR="00221A1F" w:rsidRPr="00784237">
        <w:rPr>
          <w:rFonts w:ascii="Times New Roman" w:eastAsia="Times New Roman" w:hAnsi="Times New Roman" w:cs="Times New Roman"/>
        </w:rPr>
        <w:t xml:space="preserve"> </w:t>
      </w:r>
      <w:r w:rsidRPr="00784237">
        <w:rPr>
          <w:rFonts w:ascii="Times New Roman" w:eastAsia="Times New Roman" w:hAnsi="Times New Roman" w:cs="Times New Roman"/>
        </w:rPr>
        <w:t xml:space="preserve">Faculty must enter student grades according to the attached BCC grading scale and policy. </w:t>
      </w:r>
      <w:r w:rsidR="00221A1F" w:rsidRPr="00784237">
        <w:rPr>
          <w:rFonts w:ascii="Times New Roman" w:eastAsia="Times New Roman" w:hAnsi="Times New Roman" w:cs="Times New Roman"/>
        </w:rPr>
        <w:t xml:space="preserve"> </w:t>
      </w:r>
      <w:r w:rsidRPr="00784237">
        <w:rPr>
          <w:rFonts w:ascii="Times New Roman" w:eastAsia="Times New Roman" w:hAnsi="Times New Roman" w:cs="Times New Roman"/>
        </w:rPr>
        <w:t xml:space="preserve">All final grades must be submitted on the course roster by the deadline provided. </w:t>
      </w:r>
    </w:p>
    <w:p w14:paraId="0CAF2667" w14:textId="77777777" w:rsidR="00EC4EAC" w:rsidRPr="00784237" w:rsidRDefault="00EC4EAC">
      <w:pPr>
        <w:pBdr>
          <w:top w:val="nil"/>
          <w:left w:val="nil"/>
          <w:bottom w:val="nil"/>
          <w:right w:val="nil"/>
          <w:between w:val="nil"/>
        </w:pBdr>
        <w:rPr>
          <w:rFonts w:ascii="Times New Roman" w:eastAsia="Times New Roman" w:hAnsi="Times New Roman" w:cs="Times New Roman"/>
          <w:color w:val="000000"/>
        </w:rPr>
      </w:pPr>
    </w:p>
    <w:p w14:paraId="3660FE28" w14:textId="19A6F86D" w:rsidR="00EC4EAC" w:rsidRPr="0069563D" w:rsidRDefault="001E6506">
      <w:pPr>
        <w:numPr>
          <w:ilvl w:val="0"/>
          <w:numId w:val="1"/>
        </w:numPr>
        <w:tabs>
          <w:tab w:val="left" w:pos="1142"/>
        </w:tabs>
        <w:spacing w:line="283" w:lineRule="auto"/>
        <w:ind w:left="1149" w:right="123" w:hanging="357"/>
        <w:jc w:val="both"/>
        <w:rPr>
          <w:rFonts w:ascii="Times New Roman" w:eastAsia="Times New Roman" w:hAnsi="Times New Roman" w:cs="Times New Roman"/>
        </w:rPr>
      </w:pPr>
      <w:r w:rsidRPr="00784237">
        <w:rPr>
          <w:rFonts w:ascii="Times New Roman" w:eastAsia="Times New Roman" w:hAnsi="Times New Roman" w:cs="Times New Roman"/>
        </w:rPr>
        <w:t xml:space="preserve">The </w:t>
      </w:r>
      <w:r w:rsidR="00221A1F" w:rsidRPr="00784237">
        <w:rPr>
          <w:rFonts w:ascii="Times New Roman" w:eastAsia="Times New Roman" w:hAnsi="Times New Roman" w:cs="Times New Roman"/>
        </w:rPr>
        <w:t>Board</w:t>
      </w:r>
      <w:r w:rsidRPr="00784237">
        <w:rPr>
          <w:rFonts w:ascii="Times New Roman" w:eastAsia="Times New Roman" w:hAnsi="Times New Roman" w:cs="Times New Roman"/>
        </w:rPr>
        <w:t xml:space="preserve"> is responsible for annually notifying all parents and students of the opportunities to earn college credit through dual enrollment</w:t>
      </w:r>
      <w:r w:rsidR="00221A1F" w:rsidRPr="00784237">
        <w:rPr>
          <w:rFonts w:ascii="Times New Roman" w:eastAsia="Times New Roman" w:hAnsi="Times New Roman" w:cs="Times New Roman"/>
        </w:rPr>
        <w:t>,</w:t>
      </w:r>
      <w:r w:rsidRPr="00784237">
        <w:rPr>
          <w:rFonts w:ascii="Times New Roman" w:eastAsia="Times New Roman" w:hAnsi="Times New Roman" w:cs="Times New Roman"/>
        </w:rPr>
        <w:t xml:space="preserve"> including</w:t>
      </w:r>
      <w:r w:rsidR="00221A1F" w:rsidRPr="00784237">
        <w:rPr>
          <w:rFonts w:ascii="Times New Roman" w:eastAsia="Times New Roman" w:hAnsi="Times New Roman" w:cs="Times New Roman"/>
        </w:rPr>
        <w:t>,</w:t>
      </w:r>
      <w:r w:rsidRPr="00784237">
        <w:rPr>
          <w:rFonts w:ascii="Times New Roman" w:eastAsia="Times New Roman" w:hAnsi="Times New Roman" w:cs="Times New Roman"/>
        </w:rPr>
        <w:t xml:space="preserve"> but not limited to</w:t>
      </w:r>
      <w:r w:rsidR="00221A1F" w:rsidRPr="00784237">
        <w:rPr>
          <w:rFonts w:ascii="Times New Roman" w:eastAsia="Times New Roman" w:hAnsi="Times New Roman" w:cs="Times New Roman"/>
        </w:rPr>
        <w:t>,</w:t>
      </w:r>
      <w:r w:rsidRPr="00784237">
        <w:rPr>
          <w:rFonts w:ascii="Times New Roman" w:eastAsia="Times New Roman" w:hAnsi="Times New Roman" w:cs="Times New Roman"/>
        </w:rPr>
        <w:t xml:space="preserve"> providing information describing the program and the online process of applying and registering for the inter-institutional courses.</w:t>
      </w:r>
    </w:p>
    <w:p w14:paraId="42031BF9" w14:textId="77777777" w:rsidR="00EC4EAC" w:rsidRPr="00784237" w:rsidRDefault="00EC4EAC">
      <w:pPr>
        <w:spacing w:before="8"/>
        <w:rPr>
          <w:rFonts w:ascii="Times New Roman" w:eastAsia="Times New Roman" w:hAnsi="Times New Roman" w:cs="Times New Roman"/>
        </w:rPr>
      </w:pPr>
    </w:p>
    <w:p w14:paraId="0C54F853" w14:textId="488A2418" w:rsidR="00EC4EAC" w:rsidRPr="00784237" w:rsidRDefault="001E6506">
      <w:pPr>
        <w:numPr>
          <w:ilvl w:val="0"/>
          <w:numId w:val="1"/>
        </w:numPr>
        <w:tabs>
          <w:tab w:val="left" w:pos="1153"/>
        </w:tabs>
        <w:spacing w:line="282" w:lineRule="auto"/>
        <w:ind w:left="1152" w:right="144" w:hanging="356"/>
        <w:jc w:val="both"/>
        <w:rPr>
          <w:rFonts w:ascii="Times New Roman" w:eastAsia="Times New Roman" w:hAnsi="Times New Roman" w:cs="Times New Roman"/>
        </w:rPr>
      </w:pPr>
      <w:bookmarkStart w:id="1" w:name="_heading=h.gjdgxs" w:colFirst="0" w:colLast="0"/>
      <w:bookmarkEnd w:id="1"/>
      <w:r w:rsidRPr="00784237">
        <w:rPr>
          <w:rFonts w:ascii="Times New Roman" w:eastAsia="Times New Roman" w:hAnsi="Times New Roman" w:cs="Times New Roman"/>
        </w:rPr>
        <w:t>Credits and degrees will only be granted in accordance with the academic policies and regulations described in the current B</w:t>
      </w:r>
      <w:r w:rsidR="00221A1F" w:rsidRPr="00784237">
        <w:rPr>
          <w:rFonts w:ascii="Times New Roman" w:eastAsia="Times New Roman" w:hAnsi="Times New Roman" w:cs="Times New Roman"/>
        </w:rPr>
        <w:t>CC</w:t>
      </w:r>
      <w:r w:rsidRPr="00784237">
        <w:rPr>
          <w:rFonts w:ascii="Times New Roman" w:eastAsia="Times New Roman" w:hAnsi="Times New Roman" w:cs="Times New Roman"/>
        </w:rPr>
        <w:t xml:space="preserve"> Catalog </w:t>
      </w:r>
      <w:r w:rsidR="00221A1F" w:rsidRPr="00784237">
        <w:rPr>
          <w:rFonts w:ascii="Times New Roman" w:eastAsia="Times New Roman" w:hAnsi="Times New Roman" w:cs="Times New Roman"/>
        </w:rPr>
        <w:t>that</w:t>
      </w:r>
      <w:r w:rsidRPr="00784237">
        <w:rPr>
          <w:rFonts w:ascii="Times New Roman" w:eastAsia="Times New Roman" w:hAnsi="Times New Roman" w:cs="Times New Roman"/>
        </w:rPr>
        <w:t xml:space="preserve"> can be found at </w:t>
      </w:r>
      <w:hyperlink r:id="rId9">
        <w:r w:rsidRPr="00784237">
          <w:rPr>
            <w:rFonts w:ascii="Times New Roman" w:eastAsia="Times New Roman" w:hAnsi="Times New Roman" w:cs="Times New Roman"/>
          </w:rPr>
          <w:t>www.bergen.edu.</w:t>
        </w:r>
      </w:hyperlink>
      <w:r w:rsidR="00221A1F" w:rsidRPr="00784237">
        <w:rPr>
          <w:rFonts w:ascii="Times New Roman" w:eastAsia="Times New Roman" w:hAnsi="Times New Roman" w:cs="Times New Roman"/>
        </w:rPr>
        <w:t xml:space="preserve"> </w:t>
      </w:r>
      <w:r w:rsidRPr="00784237">
        <w:rPr>
          <w:rFonts w:ascii="Times New Roman" w:eastAsia="Times New Roman" w:hAnsi="Times New Roman" w:cs="Times New Roman"/>
        </w:rPr>
        <w:t xml:space="preserve">The </w:t>
      </w:r>
      <w:r w:rsidR="00221A1F" w:rsidRPr="00784237">
        <w:rPr>
          <w:rFonts w:ascii="Times New Roman" w:eastAsia="Times New Roman" w:hAnsi="Times New Roman" w:cs="Times New Roman"/>
        </w:rPr>
        <w:t>Board</w:t>
      </w:r>
      <w:r w:rsidRPr="00784237">
        <w:rPr>
          <w:rFonts w:ascii="Times New Roman" w:eastAsia="Times New Roman" w:hAnsi="Times New Roman" w:cs="Times New Roman"/>
        </w:rPr>
        <w:t xml:space="preserve"> bears the responsibility of ensuring that the students are registered for the correct corresponding course offered through the Dual Enrollment Program as set forth in this Agreement. </w:t>
      </w:r>
      <w:r w:rsidR="00221A1F" w:rsidRPr="00784237">
        <w:rPr>
          <w:rFonts w:ascii="Times New Roman" w:eastAsia="Times New Roman" w:hAnsi="Times New Roman" w:cs="Times New Roman"/>
        </w:rPr>
        <w:t xml:space="preserve"> </w:t>
      </w:r>
      <w:r w:rsidRPr="00784237">
        <w:rPr>
          <w:rFonts w:ascii="Times New Roman" w:eastAsia="Times New Roman" w:hAnsi="Times New Roman" w:cs="Times New Roman"/>
        </w:rPr>
        <w:t xml:space="preserve">Students must register within the prescribed registration dates. </w:t>
      </w:r>
      <w:r w:rsidR="00221A1F" w:rsidRPr="00784237">
        <w:rPr>
          <w:rFonts w:ascii="Times New Roman" w:eastAsia="Times New Roman" w:hAnsi="Times New Roman" w:cs="Times New Roman"/>
        </w:rPr>
        <w:t xml:space="preserve"> </w:t>
      </w:r>
      <w:r w:rsidRPr="00784237">
        <w:rPr>
          <w:rFonts w:ascii="Times New Roman" w:eastAsia="Times New Roman" w:hAnsi="Times New Roman" w:cs="Times New Roman"/>
        </w:rPr>
        <w:t>Students must actively attend the dual</w:t>
      </w:r>
      <w:r w:rsidR="00221A1F" w:rsidRPr="00784237">
        <w:rPr>
          <w:rFonts w:ascii="Times New Roman" w:eastAsia="Times New Roman" w:hAnsi="Times New Roman" w:cs="Times New Roman"/>
        </w:rPr>
        <w:t>-</w:t>
      </w:r>
      <w:r w:rsidRPr="00784237">
        <w:rPr>
          <w:rFonts w:ascii="Times New Roman" w:eastAsia="Times New Roman" w:hAnsi="Times New Roman" w:cs="Times New Roman"/>
        </w:rPr>
        <w:t>enrolled course in order to receive college credit.</w:t>
      </w:r>
    </w:p>
    <w:p w14:paraId="32C74BF7" w14:textId="77777777" w:rsidR="00EC4EAC" w:rsidRPr="00784237" w:rsidRDefault="00EC4EAC">
      <w:pPr>
        <w:spacing w:before="6"/>
        <w:rPr>
          <w:rFonts w:ascii="Times New Roman" w:eastAsia="Times New Roman" w:hAnsi="Times New Roman" w:cs="Times New Roman"/>
        </w:rPr>
      </w:pPr>
    </w:p>
    <w:p w14:paraId="22BA04F8" w14:textId="552D9748" w:rsidR="00EC4EAC" w:rsidRPr="00784237" w:rsidRDefault="001E6506">
      <w:pPr>
        <w:numPr>
          <w:ilvl w:val="0"/>
          <w:numId w:val="1"/>
        </w:numPr>
        <w:tabs>
          <w:tab w:val="left" w:pos="1142"/>
        </w:tabs>
        <w:spacing w:line="288" w:lineRule="auto"/>
        <w:ind w:left="1149" w:right="116" w:hanging="353"/>
        <w:jc w:val="both"/>
        <w:rPr>
          <w:rFonts w:ascii="Times New Roman" w:eastAsia="Times New Roman" w:hAnsi="Times New Roman" w:cs="Times New Roman"/>
        </w:rPr>
      </w:pPr>
      <w:r w:rsidRPr="00784237">
        <w:rPr>
          <w:rFonts w:ascii="Times New Roman" w:eastAsia="Times New Roman" w:hAnsi="Times New Roman" w:cs="Times New Roman"/>
        </w:rPr>
        <w:t xml:space="preserve">The duration of this </w:t>
      </w:r>
      <w:r w:rsidR="00221A1F" w:rsidRPr="00784237">
        <w:rPr>
          <w:rFonts w:ascii="Times New Roman" w:eastAsia="Times New Roman" w:hAnsi="Times New Roman" w:cs="Times New Roman"/>
        </w:rPr>
        <w:t>A</w:t>
      </w:r>
      <w:r w:rsidRPr="00784237">
        <w:rPr>
          <w:rFonts w:ascii="Times New Roman" w:eastAsia="Times New Roman" w:hAnsi="Times New Roman" w:cs="Times New Roman"/>
        </w:rPr>
        <w:t xml:space="preserve">greement is for the </w:t>
      </w:r>
      <w:r w:rsidRPr="00784237">
        <w:rPr>
          <w:rFonts w:ascii="Times New Roman" w:eastAsia="Times New Roman" w:hAnsi="Times New Roman" w:cs="Times New Roman"/>
          <w:b/>
        </w:rPr>
        <w:t>2021-2022 academic year</w:t>
      </w:r>
      <w:r w:rsidRPr="00784237">
        <w:rPr>
          <w:rFonts w:ascii="Times New Roman" w:eastAsia="Times New Roman" w:hAnsi="Times New Roman" w:cs="Times New Roman"/>
        </w:rPr>
        <w:t xml:space="preserve"> and each year the </w:t>
      </w:r>
      <w:r w:rsidR="00221A1F" w:rsidRPr="00784237">
        <w:rPr>
          <w:rFonts w:ascii="Times New Roman" w:eastAsia="Times New Roman" w:hAnsi="Times New Roman" w:cs="Times New Roman"/>
        </w:rPr>
        <w:t>P</w:t>
      </w:r>
      <w:r w:rsidRPr="00784237">
        <w:rPr>
          <w:rFonts w:ascii="Times New Roman" w:eastAsia="Times New Roman" w:hAnsi="Times New Roman" w:cs="Times New Roman"/>
        </w:rPr>
        <w:t xml:space="preserve">arties will meet to discuss renewal arrangements. The </w:t>
      </w:r>
      <w:r w:rsidR="00221A1F" w:rsidRPr="00784237">
        <w:rPr>
          <w:rFonts w:ascii="Times New Roman" w:eastAsia="Times New Roman" w:hAnsi="Times New Roman" w:cs="Times New Roman"/>
        </w:rPr>
        <w:t>Board</w:t>
      </w:r>
      <w:r w:rsidRPr="00784237">
        <w:rPr>
          <w:rFonts w:ascii="Times New Roman" w:eastAsia="Times New Roman" w:hAnsi="Times New Roman" w:cs="Times New Roman"/>
        </w:rPr>
        <w:t xml:space="preserve"> must submit a course curriculum, together with documentation supporting teacher eligibility, prior to June 30 for the forthcoming year.</w:t>
      </w:r>
      <w:r w:rsidR="00CF7DA0" w:rsidRPr="00784237">
        <w:rPr>
          <w:rFonts w:ascii="Times New Roman" w:eastAsia="Times New Roman" w:hAnsi="Times New Roman" w:cs="Times New Roman"/>
        </w:rPr>
        <w:t xml:space="preserve"> </w:t>
      </w:r>
      <w:r w:rsidR="00CF7DA0" w:rsidRPr="00784237">
        <w:rPr>
          <w:rFonts w:ascii="Times New Roman" w:hAnsi="Times New Roman" w:cs="Times New Roman"/>
        </w:rPr>
        <w:t xml:space="preserve">Either </w:t>
      </w:r>
      <w:r w:rsidR="00221A1F" w:rsidRPr="00784237">
        <w:rPr>
          <w:rFonts w:ascii="Times New Roman" w:hAnsi="Times New Roman" w:cs="Times New Roman"/>
        </w:rPr>
        <w:t>P</w:t>
      </w:r>
      <w:r w:rsidR="00CF7DA0" w:rsidRPr="00784237">
        <w:rPr>
          <w:rFonts w:ascii="Times New Roman" w:hAnsi="Times New Roman" w:cs="Times New Roman"/>
        </w:rPr>
        <w:t xml:space="preserve">arty may terminate the service provided by </w:t>
      </w:r>
      <w:r w:rsidR="0069563D" w:rsidRPr="00784237">
        <w:rPr>
          <w:rFonts w:ascii="Times New Roman" w:hAnsi="Times New Roman" w:cs="Times New Roman"/>
        </w:rPr>
        <w:t>BCC</w:t>
      </w:r>
      <w:r w:rsidR="00CF7DA0" w:rsidRPr="00784237">
        <w:rPr>
          <w:rFonts w:ascii="Times New Roman" w:hAnsi="Times New Roman" w:cs="Times New Roman"/>
        </w:rPr>
        <w:t xml:space="preserve"> at any time, without penalty and for convenience, upon ten (10) days written notice to the other </w:t>
      </w:r>
      <w:r w:rsidR="00221A1F" w:rsidRPr="00784237">
        <w:rPr>
          <w:rFonts w:ascii="Times New Roman" w:hAnsi="Times New Roman" w:cs="Times New Roman"/>
        </w:rPr>
        <w:t>P</w:t>
      </w:r>
      <w:r w:rsidR="00CF7DA0" w:rsidRPr="00784237">
        <w:rPr>
          <w:rFonts w:ascii="Times New Roman" w:hAnsi="Times New Roman" w:cs="Times New Roman"/>
        </w:rPr>
        <w:t>arty.</w:t>
      </w:r>
    </w:p>
    <w:p w14:paraId="555D6773" w14:textId="77777777" w:rsidR="00CF7DA0" w:rsidRPr="00784237" w:rsidRDefault="00CF7DA0" w:rsidP="00784237">
      <w:pPr>
        <w:pStyle w:val="ListParagraph"/>
        <w:rPr>
          <w:rFonts w:ascii="Times New Roman" w:eastAsia="Times New Roman" w:hAnsi="Times New Roman" w:cs="Times New Roman"/>
        </w:rPr>
      </w:pPr>
    </w:p>
    <w:p w14:paraId="7B5679F2" w14:textId="51119207" w:rsidR="00CF7DA0" w:rsidRPr="00784237" w:rsidRDefault="00CF7DA0">
      <w:pPr>
        <w:numPr>
          <w:ilvl w:val="0"/>
          <w:numId w:val="1"/>
        </w:numPr>
        <w:tabs>
          <w:tab w:val="left" w:pos="1142"/>
        </w:tabs>
        <w:spacing w:line="288" w:lineRule="auto"/>
        <w:ind w:left="1149" w:right="116" w:hanging="353"/>
        <w:jc w:val="both"/>
        <w:rPr>
          <w:rFonts w:ascii="Times New Roman" w:eastAsia="Times New Roman" w:hAnsi="Times New Roman" w:cs="Times New Roman"/>
        </w:rPr>
      </w:pPr>
      <w:r w:rsidRPr="00784237">
        <w:rPr>
          <w:rFonts w:ascii="Times New Roman" w:hAnsi="Times New Roman" w:cs="Times New Roman"/>
        </w:rPr>
        <w:t xml:space="preserve">The </w:t>
      </w:r>
      <w:r w:rsidR="001E6506" w:rsidRPr="00784237">
        <w:rPr>
          <w:rFonts w:ascii="Times New Roman" w:hAnsi="Times New Roman" w:cs="Times New Roman"/>
        </w:rPr>
        <w:t>Agreement</w:t>
      </w:r>
      <w:r w:rsidRPr="00784237">
        <w:rPr>
          <w:rFonts w:ascii="Times New Roman" w:hAnsi="Times New Roman" w:cs="Times New Roman"/>
        </w:rPr>
        <w:t xml:space="preserve"> shall be governed by and construed in accordance with the laws of the State of New Jersey.  Any and all proceedings relating to the subject matter hereof shall be maintained in the courts sitting in New Jersey, which courts shall have exclusive jurisdiction for each purpose. The </w:t>
      </w:r>
      <w:r w:rsidR="00221A1F" w:rsidRPr="00784237">
        <w:rPr>
          <w:rFonts w:ascii="Times New Roman" w:hAnsi="Times New Roman" w:cs="Times New Roman"/>
        </w:rPr>
        <w:t>P</w:t>
      </w:r>
      <w:r w:rsidRPr="00784237">
        <w:rPr>
          <w:rFonts w:ascii="Times New Roman" w:hAnsi="Times New Roman" w:cs="Times New Roman"/>
        </w:rPr>
        <w:t xml:space="preserve">arties agree that any and all claims arising under this Agreement, or related thereto, shall be heard and determined in a court of competent jurisdiction in New Jersey. </w:t>
      </w:r>
    </w:p>
    <w:p w14:paraId="3F912A95" w14:textId="77777777" w:rsidR="00CF7DA0" w:rsidRPr="00784237" w:rsidRDefault="00CF7DA0" w:rsidP="00784237">
      <w:pPr>
        <w:pStyle w:val="ListParagraph"/>
        <w:rPr>
          <w:rFonts w:ascii="Times New Roman" w:eastAsia="Times New Roman" w:hAnsi="Times New Roman" w:cs="Times New Roman"/>
        </w:rPr>
      </w:pPr>
    </w:p>
    <w:p w14:paraId="3F1B5EBC" w14:textId="161D00E5" w:rsidR="00CF7DA0" w:rsidRPr="00784237" w:rsidRDefault="0069563D">
      <w:pPr>
        <w:numPr>
          <w:ilvl w:val="0"/>
          <w:numId w:val="1"/>
        </w:numPr>
        <w:tabs>
          <w:tab w:val="left" w:pos="1142"/>
        </w:tabs>
        <w:spacing w:line="288" w:lineRule="auto"/>
        <w:ind w:left="1149" w:right="116" w:hanging="353"/>
        <w:jc w:val="both"/>
        <w:rPr>
          <w:rFonts w:ascii="Times New Roman" w:eastAsia="Times New Roman" w:hAnsi="Times New Roman" w:cs="Times New Roman"/>
        </w:rPr>
      </w:pPr>
      <w:r w:rsidRPr="00784237">
        <w:rPr>
          <w:rFonts w:ascii="Times New Roman" w:hAnsi="Times New Roman" w:cs="Times New Roman"/>
        </w:rPr>
        <w:t xml:space="preserve">Each </w:t>
      </w:r>
      <w:r w:rsidR="00CF7DA0" w:rsidRPr="00784237">
        <w:rPr>
          <w:rFonts w:ascii="Times New Roman" w:hAnsi="Times New Roman" w:cs="Times New Roman"/>
        </w:rPr>
        <w:t>Part</w:t>
      </w:r>
      <w:r w:rsidRPr="00784237">
        <w:rPr>
          <w:rFonts w:ascii="Times New Roman" w:hAnsi="Times New Roman" w:cs="Times New Roman"/>
        </w:rPr>
        <w:t>y</w:t>
      </w:r>
      <w:r w:rsidR="00CF7DA0" w:rsidRPr="00784237">
        <w:rPr>
          <w:rFonts w:ascii="Times New Roman" w:hAnsi="Times New Roman" w:cs="Times New Roman"/>
        </w:rPr>
        <w:t xml:space="preserve"> shall ensure that each worker(s), subcontractors(s), agent(s) and representative(s) assigned to a school location or to a project involving contact with children has had a criminal history background check, and that said check indicates that no criminal history record information exists on file in either the Identification Division of the Federal Bureau of Investigation or the State Bureau of Identification </w:t>
      </w:r>
      <w:r w:rsidR="00221A1F" w:rsidRPr="00784237">
        <w:rPr>
          <w:rFonts w:ascii="Times New Roman" w:hAnsi="Times New Roman" w:cs="Times New Roman"/>
        </w:rPr>
        <w:t>that</w:t>
      </w:r>
      <w:r w:rsidR="00CF7DA0" w:rsidRPr="00784237">
        <w:rPr>
          <w:rFonts w:ascii="Times New Roman" w:hAnsi="Times New Roman" w:cs="Times New Roman"/>
        </w:rPr>
        <w:t xml:space="preserve"> would disqualify said employee from employment pursuant to </w:t>
      </w:r>
      <w:r w:rsidR="00CF7DA0" w:rsidRPr="00784237">
        <w:rPr>
          <w:rFonts w:ascii="Times New Roman" w:hAnsi="Times New Roman" w:cs="Times New Roman"/>
          <w:u w:val="single"/>
        </w:rPr>
        <w:t>N.J.S.A.</w:t>
      </w:r>
      <w:r w:rsidR="00CF7DA0" w:rsidRPr="00784237">
        <w:rPr>
          <w:rFonts w:ascii="Times New Roman" w:hAnsi="Times New Roman" w:cs="Times New Roman"/>
        </w:rPr>
        <w:t xml:space="preserve"> 18A:6-7.1 </w:t>
      </w:r>
      <w:r w:rsidR="00CF7DA0" w:rsidRPr="00784237">
        <w:rPr>
          <w:rFonts w:ascii="Times New Roman" w:hAnsi="Times New Roman" w:cs="Times New Roman"/>
          <w:u w:val="single"/>
        </w:rPr>
        <w:t>et seq</w:t>
      </w:r>
      <w:r w:rsidR="00CF7DA0" w:rsidRPr="00784237">
        <w:rPr>
          <w:rFonts w:ascii="Times New Roman" w:hAnsi="Times New Roman" w:cs="Times New Roman"/>
        </w:rPr>
        <w:t xml:space="preserve">.  </w:t>
      </w:r>
      <w:r w:rsidRPr="00784237">
        <w:rPr>
          <w:rFonts w:ascii="Times New Roman" w:hAnsi="Times New Roman" w:cs="Times New Roman"/>
        </w:rPr>
        <w:t xml:space="preserve">Each </w:t>
      </w:r>
      <w:r w:rsidR="00CF7DA0" w:rsidRPr="00784237">
        <w:rPr>
          <w:rFonts w:ascii="Times New Roman" w:hAnsi="Times New Roman" w:cs="Times New Roman"/>
        </w:rPr>
        <w:t>Part</w:t>
      </w:r>
      <w:r w:rsidRPr="00784237">
        <w:rPr>
          <w:rFonts w:ascii="Times New Roman" w:hAnsi="Times New Roman" w:cs="Times New Roman"/>
        </w:rPr>
        <w:t>y</w:t>
      </w:r>
      <w:r w:rsidR="00CF7DA0" w:rsidRPr="00784237">
        <w:rPr>
          <w:rFonts w:ascii="Times New Roman" w:hAnsi="Times New Roman" w:cs="Times New Roman"/>
        </w:rPr>
        <w:t xml:space="preserve"> must ensure that said background checks are performed no later than thirty (30) days after execution of this </w:t>
      </w:r>
      <w:r w:rsidR="001E6506" w:rsidRPr="00784237">
        <w:rPr>
          <w:rFonts w:ascii="Times New Roman" w:hAnsi="Times New Roman" w:cs="Times New Roman"/>
        </w:rPr>
        <w:t>Agreement</w:t>
      </w:r>
      <w:r w:rsidR="00CF7DA0" w:rsidRPr="00784237">
        <w:rPr>
          <w:rFonts w:ascii="Times New Roman" w:hAnsi="Times New Roman" w:cs="Times New Roman"/>
        </w:rPr>
        <w:t>.  The services under this A</w:t>
      </w:r>
      <w:r w:rsidR="00221A1F" w:rsidRPr="00784237">
        <w:rPr>
          <w:rFonts w:ascii="Times New Roman" w:hAnsi="Times New Roman" w:cs="Times New Roman"/>
        </w:rPr>
        <w:t>greement</w:t>
      </w:r>
      <w:r w:rsidR="00CF7DA0" w:rsidRPr="00784237">
        <w:rPr>
          <w:rFonts w:ascii="Times New Roman" w:hAnsi="Times New Roman" w:cs="Times New Roman"/>
        </w:rPr>
        <w:t xml:space="preserve"> shall not begin or proceed until </w:t>
      </w:r>
      <w:r w:rsidRPr="00784237">
        <w:rPr>
          <w:rFonts w:ascii="Times New Roman" w:hAnsi="Times New Roman" w:cs="Times New Roman"/>
        </w:rPr>
        <w:t xml:space="preserve">each </w:t>
      </w:r>
      <w:r w:rsidR="00CF7DA0" w:rsidRPr="00784237">
        <w:rPr>
          <w:rFonts w:ascii="Times New Roman" w:hAnsi="Times New Roman" w:cs="Times New Roman"/>
        </w:rPr>
        <w:t>Part</w:t>
      </w:r>
      <w:r w:rsidRPr="00784237">
        <w:rPr>
          <w:rFonts w:ascii="Times New Roman" w:hAnsi="Times New Roman" w:cs="Times New Roman"/>
        </w:rPr>
        <w:t>y</w:t>
      </w:r>
      <w:r w:rsidR="00CF7DA0" w:rsidRPr="00784237">
        <w:rPr>
          <w:rFonts w:ascii="Times New Roman" w:hAnsi="Times New Roman" w:cs="Times New Roman"/>
        </w:rPr>
        <w:t xml:space="preserve"> complies with the requirements of this section.  Failure to ensure that criminal history background </w:t>
      </w:r>
      <w:r w:rsidR="00CF7DA0" w:rsidRPr="00784237">
        <w:rPr>
          <w:rFonts w:ascii="Times New Roman" w:hAnsi="Times New Roman" w:cs="Times New Roman"/>
        </w:rPr>
        <w:lastRenderedPageBreak/>
        <w:t xml:space="preserve">check(s) are performed within said time limitation shall be deemed a material breach of this agreement by </w:t>
      </w:r>
      <w:r w:rsidRPr="00784237">
        <w:rPr>
          <w:rFonts w:ascii="Times New Roman" w:hAnsi="Times New Roman" w:cs="Times New Roman"/>
        </w:rPr>
        <w:t xml:space="preserve">a </w:t>
      </w:r>
      <w:r w:rsidR="00CF7DA0" w:rsidRPr="00784237">
        <w:rPr>
          <w:rFonts w:ascii="Times New Roman" w:hAnsi="Times New Roman" w:cs="Times New Roman"/>
        </w:rPr>
        <w:t>Part</w:t>
      </w:r>
      <w:r w:rsidRPr="00784237">
        <w:rPr>
          <w:rFonts w:ascii="Times New Roman" w:hAnsi="Times New Roman" w:cs="Times New Roman"/>
        </w:rPr>
        <w:t>y</w:t>
      </w:r>
      <w:r w:rsidR="00CF7DA0" w:rsidRPr="00784237">
        <w:rPr>
          <w:rFonts w:ascii="Times New Roman" w:hAnsi="Times New Roman" w:cs="Times New Roman"/>
        </w:rPr>
        <w:t xml:space="preserve">, and as such, serves as a basis for the </w:t>
      </w:r>
      <w:r w:rsidRPr="00784237">
        <w:rPr>
          <w:rFonts w:ascii="Times New Roman" w:hAnsi="Times New Roman" w:cs="Times New Roman"/>
        </w:rPr>
        <w:t>other Party</w:t>
      </w:r>
      <w:r w:rsidR="00CF7DA0" w:rsidRPr="00784237">
        <w:rPr>
          <w:rFonts w:ascii="Times New Roman" w:hAnsi="Times New Roman" w:cs="Times New Roman"/>
        </w:rPr>
        <w:t xml:space="preserve"> to immediately terminate this </w:t>
      </w:r>
      <w:r w:rsidR="001E6506" w:rsidRPr="00784237">
        <w:rPr>
          <w:rFonts w:ascii="Times New Roman" w:hAnsi="Times New Roman" w:cs="Times New Roman"/>
        </w:rPr>
        <w:t>Agreement</w:t>
      </w:r>
      <w:r w:rsidR="00CF7DA0" w:rsidRPr="00784237">
        <w:rPr>
          <w:rFonts w:ascii="Times New Roman" w:hAnsi="Times New Roman" w:cs="Times New Roman"/>
        </w:rPr>
        <w:t xml:space="preserve">. </w:t>
      </w:r>
    </w:p>
    <w:p w14:paraId="180E2C83" w14:textId="77777777" w:rsidR="00CF7DA0" w:rsidRPr="00784237" w:rsidRDefault="00CF7DA0" w:rsidP="00784237">
      <w:pPr>
        <w:pStyle w:val="ListParagraph"/>
        <w:rPr>
          <w:rFonts w:ascii="Times New Roman" w:eastAsia="Times New Roman" w:hAnsi="Times New Roman" w:cs="Times New Roman"/>
        </w:rPr>
      </w:pPr>
    </w:p>
    <w:p w14:paraId="74081CCE" w14:textId="77777777" w:rsidR="00CF7DA0" w:rsidRPr="00784237" w:rsidRDefault="00CF7DA0" w:rsidP="00784237">
      <w:pPr>
        <w:pStyle w:val="ListParagraph"/>
        <w:rPr>
          <w:rFonts w:ascii="Times New Roman" w:eastAsia="Times New Roman" w:hAnsi="Times New Roman" w:cs="Times New Roman"/>
        </w:rPr>
      </w:pPr>
    </w:p>
    <w:p w14:paraId="76460172" w14:textId="2B4CABE2" w:rsidR="00CF7DA0" w:rsidRPr="00784237" w:rsidRDefault="0069563D">
      <w:pPr>
        <w:numPr>
          <w:ilvl w:val="0"/>
          <w:numId w:val="1"/>
        </w:numPr>
        <w:tabs>
          <w:tab w:val="left" w:pos="1142"/>
        </w:tabs>
        <w:spacing w:line="288" w:lineRule="auto"/>
        <w:ind w:left="1149" w:right="116" w:hanging="353"/>
        <w:jc w:val="both"/>
        <w:rPr>
          <w:rFonts w:ascii="Times New Roman" w:eastAsia="Times New Roman" w:hAnsi="Times New Roman" w:cs="Times New Roman"/>
        </w:rPr>
      </w:pPr>
      <w:r w:rsidRPr="00784237">
        <w:rPr>
          <w:rFonts w:ascii="Times New Roman" w:hAnsi="Times New Roman" w:cs="Times New Roman"/>
        </w:rPr>
        <w:t>BCC</w:t>
      </w:r>
      <w:r w:rsidR="00CF7DA0" w:rsidRPr="00784237">
        <w:rPr>
          <w:rFonts w:ascii="Times New Roman" w:hAnsi="Times New Roman" w:cs="Times New Roman"/>
          <w:i/>
          <w:color w:val="FF0000"/>
        </w:rPr>
        <w:t xml:space="preserve"> </w:t>
      </w:r>
      <w:r w:rsidR="00CF7DA0" w:rsidRPr="00784237">
        <w:rPr>
          <w:rFonts w:ascii="Times New Roman" w:hAnsi="Times New Roman" w:cs="Times New Roman"/>
        </w:rPr>
        <w:t>and/or its agents agree to maintain all staff and student information confidentially in accordance with all New Jersey state and federal laws and regulations, including</w:t>
      </w:r>
      <w:r w:rsidR="00221A1F" w:rsidRPr="00784237">
        <w:rPr>
          <w:rFonts w:ascii="Times New Roman" w:hAnsi="Times New Roman" w:cs="Times New Roman"/>
        </w:rPr>
        <w:t>,</w:t>
      </w:r>
      <w:r w:rsidR="00CF7DA0" w:rsidRPr="00784237">
        <w:rPr>
          <w:rFonts w:ascii="Times New Roman" w:hAnsi="Times New Roman" w:cs="Times New Roman"/>
        </w:rPr>
        <w:t xml:space="preserve"> but not limited to, the Children’s Online Privacy and Protection Act (“COPPA”), the federal Health Insurance Portability and Accountability Act of 1996 (“HIPAA”), the Family Educational Rights and Privacy Act (“FERPA”), Federal Regulations (42 CFR-Part 2 and 42 CFR-Parts 160 &amp; 164), and the N.J. Children of Substance Abusers Legislation of 1999 (</w:t>
      </w:r>
      <w:r w:rsidR="00CF7DA0" w:rsidRPr="00784237">
        <w:rPr>
          <w:rFonts w:ascii="Times New Roman" w:hAnsi="Times New Roman" w:cs="Times New Roman"/>
          <w:u w:val="single"/>
        </w:rPr>
        <w:t>N.J.S.A.</w:t>
      </w:r>
      <w:r w:rsidR="00CF7DA0" w:rsidRPr="00784237">
        <w:rPr>
          <w:rFonts w:ascii="Times New Roman" w:hAnsi="Times New Roman" w:cs="Times New Roman"/>
        </w:rPr>
        <w:t xml:space="preserve"> 18A:40A-7.1). To the extent that any services are performed by </w:t>
      </w:r>
      <w:r w:rsidRPr="00784237">
        <w:rPr>
          <w:rFonts w:ascii="Times New Roman" w:hAnsi="Times New Roman" w:cs="Times New Roman"/>
        </w:rPr>
        <w:t>BCC</w:t>
      </w:r>
      <w:r w:rsidR="00CF7DA0" w:rsidRPr="00784237">
        <w:rPr>
          <w:rFonts w:ascii="Times New Roman" w:hAnsi="Times New Roman" w:cs="Times New Roman"/>
        </w:rPr>
        <w:t xml:space="preserve"> virtually using the internet or some other remote means of electronic transmission, </w:t>
      </w:r>
      <w:r w:rsidRPr="00784237">
        <w:rPr>
          <w:rFonts w:ascii="Times New Roman" w:hAnsi="Times New Roman" w:cs="Times New Roman"/>
        </w:rPr>
        <w:t>BCC</w:t>
      </w:r>
      <w:r w:rsidR="00CF7DA0" w:rsidRPr="00784237">
        <w:rPr>
          <w:rFonts w:ascii="Times New Roman" w:hAnsi="Times New Roman" w:cs="Times New Roman"/>
        </w:rPr>
        <w:t xml:space="preserve"> shall ensure that any online internet providers, platforms or other remote means of electronic transmission that it may use to deliver said services are sufficiently secure and adequately safeguard student information, is compliant with all relevant state and federal laws including COPPA, and must be compatible with and comply with the technical requirements of the Board’s computer network and/or must be on a Board pre-approved online platform. </w:t>
      </w:r>
    </w:p>
    <w:p w14:paraId="76B260EE" w14:textId="77777777" w:rsidR="00CF7DA0" w:rsidRPr="00784237" w:rsidRDefault="00CF7DA0" w:rsidP="00784237">
      <w:pPr>
        <w:tabs>
          <w:tab w:val="left" w:pos="1142"/>
        </w:tabs>
        <w:spacing w:line="288" w:lineRule="auto"/>
        <w:ind w:left="1149" w:right="116"/>
        <w:jc w:val="both"/>
        <w:rPr>
          <w:rFonts w:ascii="Times New Roman" w:eastAsia="Times New Roman" w:hAnsi="Times New Roman" w:cs="Times New Roman"/>
        </w:rPr>
      </w:pPr>
    </w:p>
    <w:p w14:paraId="343D87AB" w14:textId="1F4B8AC9" w:rsidR="00CF7DA0" w:rsidRPr="00610360" w:rsidRDefault="00221A1F">
      <w:pPr>
        <w:numPr>
          <w:ilvl w:val="0"/>
          <w:numId w:val="1"/>
        </w:numPr>
        <w:tabs>
          <w:tab w:val="left" w:pos="1142"/>
        </w:tabs>
        <w:spacing w:line="288" w:lineRule="auto"/>
        <w:ind w:left="1149" w:right="116" w:hanging="353"/>
        <w:jc w:val="both"/>
        <w:rPr>
          <w:rFonts w:ascii="Times New Roman" w:eastAsia="Times New Roman" w:hAnsi="Times New Roman" w:cs="Times New Roman"/>
        </w:rPr>
      </w:pPr>
      <w:r w:rsidRPr="00784237">
        <w:rPr>
          <w:rFonts w:ascii="Times New Roman" w:hAnsi="Times New Roman" w:cs="Times New Roman"/>
        </w:rPr>
        <w:t>a)</w:t>
      </w:r>
      <w:r w:rsidR="00713FCA">
        <w:rPr>
          <w:rFonts w:ascii="Times New Roman" w:hAnsi="Times New Roman" w:cs="Times New Roman"/>
        </w:rPr>
        <w:tab/>
      </w:r>
      <w:r w:rsidR="00610360" w:rsidRPr="007B5BE7">
        <w:rPr>
          <w:rFonts w:ascii="Times New Roman" w:hAnsi="Times New Roman" w:cs="Times New Roman"/>
        </w:rPr>
        <w:t xml:space="preserve">Subject to the provisions of the New Jersey Tort Claims Act and the New Jersey Contractual Liability Act, </w:t>
      </w:r>
      <w:r w:rsidR="00610360">
        <w:rPr>
          <w:rFonts w:ascii="Times New Roman" w:hAnsi="Times New Roman" w:cs="Times New Roman"/>
        </w:rPr>
        <w:t>BCC</w:t>
      </w:r>
      <w:r w:rsidR="00610360" w:rsidRPr="007B5BE7">
        <w:rPr>
          <w:rFonts w:ascii="Times New Roman" w:hAnsi="Times New Roman" w:cs="Times New Roman"/>
        </w:rPr>
        <w:t xml:space="preserve"> shall be responsible for and defend itself against any and all suits, claims, losses, demands or damages of whatsoever kind or nature arising out of or in connection with any act or omission of its employees, agents or officers, in the performance of its obligations assumed pursuant to this </w:t>
      </w:r>
      <w:r w:rsidR="00610360">
        <w:rPr>
          <w:rFonts w:ascii="Times New Roman" w:hAnsi="Times New Roman" w:cs="Times New Roman"/>
        </w:rPr>
        <w:t>agreement</w:t>
      </w:r>
      <w:r w:rsidR="00610360" w:rsidRPr="007B5BE7">
        <w:rPr>
          <w:rFonts w:ascii="Times New Roman" w:hAnsi="Times New Roman" w:cs="Times New Roman"/>
        </w:rPr>
        <w:t xml:space="preserve">.  </w:t>
      </w:r>
      <w:r w:rsidR="00610360">
        <w:rPr>
          <w:rFonts w:ascii="Times New Roman" w:hAnsi="Times New Roman" w:cs="Times New Roman"/>
        </w:rPr>
        <w:t>BCC</w:t>
      </w:r>
      <w:r w:rsidR="00610360" w:rsidRPr="007B5BE7">
        <w:rPr>
          <w:rFonts w:ascii="Times New Roman" w:hAnsi="Times New Roman" w:cs="Times New Roman"/>
        </w:rPr>
        <w:t xml:space="preserve"> hereby releases the Board from any and all liabilities, claims, losses, costs, expenses and demands of any kind or nature whatsoever, arising under state or federal law, solely out of or in connection with </w:t>
      </w:r>
      <w:r w:rsidR="00610360">
        <w:rPr>
          <w:rFonts w:ascii="Times New Roman" w:hAnsi="Times New Roman" w:cs="Times New Roman"/>
        </w:rPr>
        <w:t>BCC</w:t>
      </w:r>
      <w:r w:rsidR="00610360" w:rsidRPr="007B5BE7">
        <w:rPr>
          <w:rFonts w:ascii="Times New Roman" w:hAnsi="Times New Roman" w:cs="Times New Roman"/>
        </w:rPr>
        <w:t xml:space="preserve">’s performance of the obligations assumed by it or its employees, agents or officers pursuant to this </w:t>
      </w:r>
      <w:r w:rsidR="00610360">
        <w:rPr>
          <w:rFonts w:ascii="Times New Roman" w:hAnsi="Times New Roman" w:cs="Times New Roman"/>
        </w:rPr>
        <w:t xml:space="preserve">Agreement. </w:t>
      </w:r>
    </w:p>
    <w:p w14:paraId="378A72AE" w14:textId="77777777" w:rsidR="00221A1F" w:rsidRPr="00784237" w:rsidRDefault="00221A1F" w:rsidP="00221A1F">
      <w:pPr>
        <w:tabs>
          <w:tab w:val="left" w:pos="1142"/>
        </w:tabs>
        <w:spacing w:line="288" w:lineRule="auto"/>
        <w:ind w:right="116"/>
        <w:jc w:val="both"/>
        <w:rPr>
          <w:rFonts w:ascii="Times New Roman" w:eastAsia="Times New Roman" w:hAnsi="Times New Roman" w:cs="Times New Roman"/>
        </w:rPr>
      </w:pPr>
    </w:p>
    <w:p w14:paraId="555E4298" w14:textId="6AAE9A2B" w:rsidR="00221A1F" w:rsidRPr="00784237" w:rsidRDefault="00221A1F" w:rsidP="00784237">
      <w:pPr>
        <w:tabs>
          <w:tab w:val="left" w:pos="1142"/>
        </w:tabs>
        <w:spacing w:line="288" w:lineRule="auto"/>
        <w:ind w:left="1170" w:right="116"/>
        <w:jc w:val="both"/>
        <w:rPr>
          <w:rFonts w:ascii="Times New Roman" w:eastAsia="Times New Roman" w:hAnsi="Times New Roman" w:cs="Times New Roman"/>
        </w:rPr>
      </w:pPr>
      <w:r w:rsidRPr="00784237">
        <w:rPr>
          <w:rFonts w:ascii="Times New Roman" w:eastAsia="Times New Roman" w:hAnsi="Times New Roman" w:cs="Times New Roman"/>
        </w:rPr>
        <w:t>b)</w:t>
      </w:r>
      <w:r w:rsidR="00713FCA">
        <w:rPr>
          <w:rFonts w:ascii="Times New Roman" w:hAnsi="Times New Roman" w:cs="Times New Roman"/>
        </w:rPr>
        <w:tab/>
      </w:r>
      <w:r w:rsidR="00610360" w:rsidRPr="007B5BE7">
        <w:rPr>
          <w:rFonts w:ascii="Times New Roman" w:hAnsi="Times New Roman" w:cs="Times New Roman"/>
        </w:rPr>
        <w:t xml:space="preserve">Subject to the provisions of the New Jersey Tort Claims Act and the New Jersey Contractual Liability Act, the Board shall be responsible for and defend itself against any and all suits, claims, losses, demands or damages of whatsoever kind or nature arising out of or in connection with any act or omission of its employees, agents or officers, in the performance of this </w:t>
      </w:r>
      <w:r w:rsidR="00610360">
        <w:rPr>
          <w:rFonts w:ascii="Times New Roman" w:hAnsi="Times New Roman" w:cs="Times New Roman"/>
        </w:rPr>
        <w:t>Agreement</w:t>
      </w:r>
      <w:r w:rsidR="00610360" w:rsidRPr="007B5BE7">
        <w:rPr>
          <w:rFonts w:ascii="Times New Roman" w:hAnsi="Times New Roman" w:cs="Times New Roman"/>
        </w:rPr>
        <w:t xml:space="preserve">.  The Board hereby releases </w:t>
      </w:r>
      <w:r w:rsidR="00610360">
        <w:rPr>
          <w:rFonts w:ascii="Times New Roman" w:hAnsi="Times New Roman" w:cs="Times New Roman"/>
        </w:rPr>
        <w:t>BCC</w:t>
      </w:r>
      <w:r w:rsidR="00610360" w:rsidRPr="007B5BE7">
        <w:rPr>
          <w:rFonts w:ascii="Times New Roman" w:hAnsi="Times New Roman" w:cs="Times New Roman"/>
        </w:rPr>
        <w:t xml:space="preserve"> from any and all liabilities, claims, losses, costs, expenses and demands of any kind or nature whatsoever, arising under state or federal law, solely out of or in connection with the Board’s performance of the obligations assumed by it or its employees, agents or officers pursuant to this </w:t>
      </w:r>
      <w:r w:rsidR="00610360">
        <w:rPr>
          <w:rFonts w:ascii="Times New Roman" w:hAnsi="Times New Roman" w:cs="Times New Roman"/>
        </w:rPr>
        <w:t>Agreement.</w:t>
      </w:r>
      <w:r w:rsidRPr="00784237">
        <w:rPr>
          <w:rFonts w:ascii="Times New Roman" w:hAnsi="Times New Roman" w:cs="Times New Roman"/>
        </w:rPr>
        <w:t xml:space="preserve"> </w:t>
      </w:r>
    </w:p>
    <w:p w14:paraId="1DC792EF" w14:textId="77777777" w:rsidR="00CF7DA0" w:rsidRPr="00784237" w:rsidRDefault="00CF7DA0" w:rsidP="00784237">
      <w:pPr>
        <w:pStyle w:val="ListParagraph"/>
        <w:rPr>
          <w:rFonts w:ascii="Times New Roman" w:eastAsia="Times New Roman" w:hAnsi="Times New Roman" w:cs="Times New Roman"/>
        </w:rPr>
      </w:pPr>
    </w:p>
    <w:p w14:paraId="0C5C8F81" w14:textId="3A135412" w:rsidR="00CF7DA0" w:rsidRPr="00784237" w:rsidRDefault="001C3F36" w:rsidP="00784237">
      <w:pPr>
        <w:numPr>
          <w:ilvl w:val="0"/>
          <w:numId w:val="1"/>
        </w:numPr>
        <w:tabs>
          <w:tab w:val="left" w:pos="1142"/>
        </w:tabs>
        <w:spacing w:line="288" w:lineRule="auto"/>
        <w:ind w:left="1149" w:right="116" w:hanging="353"/>
        <w:jc w:val="both"/>
        <w:rPr>
          <w:rFonts w:ascii="Times New Roman" w:eastAsia="Times New Roman" w:hAnsi="Times New Roman" w:cs="Times New Roman"/>
        </w:rPr>
      </w:pPr>
      <w:r w:rsidRPr="00784237">
        <w:rPr>
          <w:rFonts w:ascii="Times New Roman" w:hAnsi="Times New Roman" w:cs="Times New Roman"/>
        </w:rPr>
        <w:t xml:space="preserve">The </w:t>
      </w:r>
      <w:r w:rsidR="00CF7DA0" w:rsidRPr="00784237">
        <w:rPr>
          <w:rFonts w:ascii="Times New Roman" w:hAnsi="Times New Roman" w:cs="Times New Roman"/>
        </w:rPr>
        <w:t>Part</w:t>
      </w:r>
      <w:r w:rsidRPr="00784237">
        <w:rPr>
          <w:rFonts w:ascii="Times New Roman" w:hAnsi="Times New Roman" w:cs="Times New Roman"/>
        </w:rPr>
        <w:t>ies</w:t>
      </w:r>
      <w:r w:rsidR="00CF7DA0" w:rsidRPr="00784237">
        <w:rPr>
          <w:rFonts w:ascii="Times New Roman" w:hAnsi="Times New Roman" w:cs="Times New Roman"/>
        </w:rPr>
        <w:t xml:space="preserve"> shall </w:t>
      </w:r>
      <w:r w:rsidRPr="00784237">
        <w:rPr>
          <w:rFonts w:ascii="Times New Roman" w:hAnsi="Times New Roman" w:cs="Times New Roman"/>
        </w:rPr>
        <w:t xml:space="preserve">each </w:t>
      </w:r>
      <w:r w:rsidR="00CF7DA0" w:rsidRPr="00784237">
        <w:rPr>
          <w:rFonts w:ascii="Times New Roman" w:hAnsi="Times New Roman" w:cs="Times New Roman"/>
        </w:rPr>
        <w:t xml:space="preserve">procure and maintain for the duration of the </w:t>
      </w:r>
      <w:r w:rsidR="001E6506" w:rsidRPr="00784237">
        <w:rPr>
          <w:rFonts w:ascii="Times New Roman" w:hAnsi="Times New Roman" w:cs="Times New Roman"/>
        </w:rPr>
        <w:t>Agreement</w:t>
      </w:r>
      <w:r w:rsidR="00CF7DA0" w:rsidRPr="00784237">
        <w:rPr>
          <w:rFonts w:ascii="Times New Roman" w:hAnsi="Times New Roman" w:cs="Times New Roman"/>
        </w:rPr>
        <w:t xml:space="preserve"> commercial insurance against claims for injuries to persons and/or damages to property </w:t>
      </w:r>
      <w:r w:rsidRPr="00784237">
        <w:rPr>
          <w:rFonts w:ascii="Times New Roman" w:hAnsi="Times New Roman" w:cs="Times New Roman"/>
        </w:rPr>
        <w:t>that</w:t>
      </w:r>
      <w:r w:rsidR="00CF7DA0" w:rsidRPr="00784237">
        <w:rPr>
          <w:rFonts w:ascii="Times New Roman" w:hAnsi="Times New Roman" w:cs="Times New Roman"/>
        </w:rPr>
        <w:t xml:space="preserve"> may arise from or in connection with the performance of </w:t>
      </w:r>
      <w:r w:rsidRPr="00784237">
        <w:rPr>
          <w:rFonts w:ascii="Times New Roman" w:hAnsi="Times New Roman" w:cs="Times New Roman"/>
        </w:rPr>
        <w:t>services</w:t>
      </w:r>
      <w:r w:rsidR="00CF7DA0" w:rsidRPr="00784237">
        <w:rPr>
          <w:rFonts w:ascii="Times New Roman" w:hAnsi="Times New Roman" w:cs="Times New Roman"/>
        </w:rPr>
        <w:t xml:space="preserve"> hereunder by </w:t>
      </w:r>
      <w:r w:rsidRPr="00784237">
        <w:rPr>
          <w:rFonts w:ascii="Times New Roman" w:hAnsi="Times New Roman" w:cs="Times New Roman"/>
        </w:rPr>
        <w:t xml:space="preserve">the other </w:t>
      </w:r>
      <w:r w:rsidR="00CF7DA0" w:rsidRPr="00784237">
        <w:rPr>
          <w:rFonts w:ascii="Times New Roman" w:hAnsi="Times New Roman" w:cs="Times New Roman"/>
        </w:rPr>
        <w:t>Part</w:t>
      </w:r>
      <w:r w:rsidRPr="00784237">
        <w:rPr>
          <w:rFonts w:ascii="Times New Roman" w:hAnsi="Times New Roman" w:cs="Times New Roman"/>
        </w:rPr>
        <w:t>y</w:t>
      </w:r>
      <w:r w:rsidR="00CF7DA0" w:rsidRPr="00784237">
        <w:rPr>
          <w:rFonts w:ascii="Times New Roman" w:hAnsi="Times New Roman" w:cs="Times New Roman"/>
        </w:rPr>
        <w:t xml:space="preserve">, or its agents, representatives, employees or subcontractors. </w:t>
      </w:r>
      <w:r w:rsidRPr="00784237">
        <w:rPr>
          <w:rFonts w:ascii="Times New Roman" w:hAnsi="Times New Roman" w:cs="Times New Roman"/>
        </w:rPr>
        <w:t xml:space="preserve">Each </w:t>
      </w:r>
      <w:r w:rsidR="00CF7DA0" w:rsidRPr="00784237">
        <w:rPr>
          <w:rFonts w:ascii="Times New Roman" w:hAnsi="Times New Roman" w:cs="Times New Roman"/>
        </w:rPr>
        <w:t>Part</w:t>
      </w:r>
      <w:r w:rsidRPr="00784237">
        <w:rPr>
          <w:rFonts w:ascii="Times New Roman" w:hAnsi="Times New Roman" w:cs="Times New Roman"/>
        </w:rPr>
        <w:t>y</w:t>
      </w:r>
      <w:r w:rsidR="00CF7DA0" w:rsidRPr="00784237">
        <w:rPr>
          <w:rFonts w:ascii="Times New Roman" w:hAnsi="Times New Roman" w:cs="Times New Roman"/>
        </w:rPr>
        <w:t xml:space="preserve"> represents and warrants that all </w:t>
      </w:r>
      <w:r w:rsidRPr="00784237">
        <w:rPr>
          <w:rFonts w:ascii="Times New Roman" w:hAnsi="Times New Roman" w:cs="Times New Roman"/>
        </w:rPr>
        <w:t>services</w:t>
      </w:r>
      <w:r w:rsidR="00CF7DA0" w:rsidRPr="00784237">
        <w:rPr>
          <w:rFonts w:ascii="Times New Roman" w:hAnsi="Times New Roman" w:cs="Times New Roman"/>
        </w:rPr>
        <w:t xml:space="preserve"> provided hereunder will be performed by persons who are licensed, certified and experienced to furnish the </w:t>
      </w:r>
      <w:r w:rsidRPr="00784237">
        <w:rPr>
          <w:rFonts w:ascii="Times New Roman" w:hAnsi="Times New Roman" w:cs="Times New Roman"/>
        </w:rPr>
        <w:t>other Party</w:t>
      </w:r>
      <w:r w:rsidR="00CF7DA0" w:rsidRPr="00784237">
        <w:rPr>
          <w:rFonts w:ascii="Times New Roman" w:hAnsi="Times New Roman" w:cs="Times New Roman"/>
        </w:rPr>
        <w:t xml:space="preserve"> with these services.  This </w:t>
      </w:r>
      <w:r w:rsidR="001E6506" w:rsidRPr="00784237">
        <w:rPr>
          <w:rFonts w:ascii="Times New Roman" w:hAnsi="Times New Roman" w:cs="Times New Roman"/>
        </w:rPr>
        <w:t>Agreement</w:t>
      </w:r>
      <w:r w:rsidR="00CF7DA0" w:rsidRPr="00784237">
        <w:rPr>
          <w:rFonts w:ascii="Times New Roman" w:hAnsi="Times New Roman" w:cs="Times New Roman"/>
        </w:rPr>
        <w:t xml:space="preserve"> shall be contingent upon proof of insurance coverage for the entire term, notwithstanding that </w:t>
      </w:r>
      <w:r w:rsidRPr="00784237">
        <w:rPr>
          <w:rFonts w:ascii="Times New Roman" w:hAnsi="Times New Roman" w:cs="Times New Roman"/>
        </w:rPr>
        <w:t>ei</w:t>
      </w:r>
      <w:r w:rsidR="00CF7DA0" w:rsidRPr="00784237">
        <w:rPr>
          <w:rFonts w:ascii="Times New Roman" w:hAnsi="Times New Roman" w:cs="Times New Roman"/>
        </w:rPr>
        <w:t>the</w:t>
      </w:r>
      <w:r w:rsidRPr="00784237">
        <w:rPr>
          <w:rFonts w:ascii="Times New Roman" w:hAnsi="Times New Roman" w:cs="Times New Roman"/>
        </w:rPr>
        <w:t>r</w:t>
      </w:r>
      <w:r w:rsidR="00CF7DA0" w:rsidRPr="00784237">
        <w:rPr>
          <w:rFonts w:ascii="Times New Roman" w:hAnsi="Times New Roman" w:cs="Times New Roman"/>
        </w:rPr>
        <w:t xml:space="preserve"> </w:t>
      </w:r>
      <w:r w:rsidRPr="00784237">
        <w:rPr>
          <w:rFonts w:ascii="Times New Roman" w:hAnsi="Times New Roman" w:cs="Times New Roman"/>
        </w:rPr>
        <w:t>Party</w:t>
      </w:r>
      <w:r w:rsidR="00CF7DA0" w:rsidRPr="00784237">
        <w:rPr>
          <w:rFonts w:ascii="Times New Roman" w:hAnsi="Times New Roman" w:cs="Times New Roman"/>
        </w:rPr>
        <w:t xml:space="preserve"> may accept any in place of coverage at the time of the execution of this </w:t>
      </w:r>
      <w:r w:rsidRPr="00784237">
        <w:rPr>
          <w:rFonts w:ascii="Times New Roman" w:hAnsi="Times New Roman" w:cs="Times New Roman"/>
        </w:rPr>
        <w:t>A</w:t>
      </w:r>
      <w:r w:rsidR="00CF7DA0" w:rsidRPr="00784237">
        <w:rPr>
          <w:rFonts w:ascii="Times New Roman" w:hAnsi="Times New Roman" w:cs="Times New Roman"/>
        </w:rPr>
        <w:t xml:space="preserve">greement </w:t>
      </w:r>
      <w:r w:rsidRPr="00784237">
        <w:rPr>
          <w:rFonts w:ascii="Times New Roman" w:hAnsi="Times New Roman" w:cs="Times New Roman"/>
        </w:rPr>
        <w:t>that</w:t>
      </w:r>
      <w:r w:rsidR="00CF7DA0" w:rsidRPr="00784237">
        <w:rPr>
          <w:rFonts w:ascii="Times New Roman" w:hAnsi="Times New Roman" w:cs="Times New Roman"/>
        </w:rPr>
        <w:t xml:space="preserve"> may be due to expire prior to the completion date of this </w:t>
      </w:r>
      <w:r w:rsidRPr="00784237">
        <w:rPr>
          <w:rFonts w:ascii="Times New Roman" w:hAnsi="Times New Roman" w:cs="Times New Roman"/>
        </w:rPr>
        <w:t>A</w:t>
      </w:r>
      <w:r w:rsidR="00CF7DA0" w:rsidRPr="00784237">
        <w:rPr>
          <w:rFonts w:ascii="Times New Roman" w:hAnsi="Times New Roman" w:cs="Times New Roman"/>
        </w:rPr>
        <w:t>greement.</w:t>
      </w:r>
    </w:p>
    <w:p w14:paraId="55F9EF93" w14:textId="77777777" w:rsidR="00CF7DA0" w:rsidRPr="00784237" w:rsidRDefault="00CF7DA0" w:rsidP="00CF7DA0">
      <w:pPr>
        <w:rPr>
          <w:rFonts w:ascii="Times New Roman" w:hAnsi="Times New Roman" w:cs="Times New Roman"/>
        </w:rPr>
      </w:pPr>
    </w:p>
    <w:p w14:paraId="7068BE94" w14:textId="494144D5" w:rsidR="00CF7DA0" w:rsidRPr="00784237" w:rsidRDefault="001C3F36" w:rsidP="00784237">
      <w:pPr>
        <w:ind w:left="1440"/>
        <w:rPr>
          <w:rFonts w:ascii="Times New Roman" w:hAnsi="Times New Roman" w:cs="Times New Roman"/>
        </w:rPr>
      </w:pPr>
      <w:r w:rsidRPr="00784237">
        <w:rPr>
          <w:rFonts w:ascii="Times New Roman" w:hAnsi="Times New Roman" w:cs="Times New Roman"/>
        </w:rPr>
        <w:t>Each Party</w:t>
      </w:r>
      <w:r w:rsidR="00CF7DA0" w:rsidRPr="00784237">
        <w:rPr>
          <w:rFonts w:ascii="Times New Roman" w:hAnsi="Times New Roman" w:cs="Times New Roman"/>
        </w:rPr>
        <w:t xml:space="preserve"> is to be added as an </w:t>
      </w:r>
      <w:r w:rsidR="00CF7DA0" w:rsidRPr="00784237">
        <w:rPr>
          <w:rFonts w:ascii="Times New Roman" w:hAnsi="Times New Roman" w:cs="Times New Roman"/>
          <w:b/>
        </w:rPr>
        <w:t>additional insured</w:t>
      </w:r>
      <w:r w:rsidRPr="00784237">
        <w:rPr>
          <w:rFonts w:ascii="Times New Roman" w:hAnsi="Times New Roman" w:cs="Times New Roman"/>
          <w:b/>
        </w:rPr>
        <w:t>,</w:t>
      </w:r>
      <w:r w:rsidR="00CF7DA0" w:rsidRPr="00784237">
        <w:rPr>
          <w:rFonts w:ascii="Times New Roman" w:hAnsi="Times New Roman" w:cs="Times New Roman"/>
          <w:b/>
        </w:rPr>
        <w:t xml:space="preserve"> </w:t>
      </w:r>
      <w:r w:rsidR="00CF7DA0" w:rsidRPr="00784237">
        <w:rPr>
          <w:rFonts w:ascii="Times New Roman" w:hAnsi="Times New Roman" w:cs="Times New Roman"/>
        </w:rPr>
        <w:t xml:space="preserve">but only as </w:t>
      </w:r>
      <w:r w:rsidRPr="00784237">
        <w:rPr>
          <w:rFonts w:ascii="Times New Roman" w:hAnsi="Times New Roman" w:cs="Times New Roman"/>
        </w:rPr>
        <w:t>its</w:t>
      </w:r>
      <w:r w:rsidR="00CF7DA0" w:rsidRPr="00784237">
        <w:rPr>
          <w:rFonts w:ascii="Times New Roman" w:hAnsi="Times New Roman" w:cs="Times New Roman"/>
        </w:rPr>
        <w:t xml:space="preserve"> interests may appear on all </w:t>
      </w:r>
      <w:r w:rsidR="00CF7DA0" w:rsidRPr="00784237">
        <w:rPr>
          <w:rFonts w:ascii="Times New Roman" w:hAnsi="Times New Roman" w:cs="Times New Roman"/>
        </w:rPr>
        <w:lastRenderedPageBreak/>
        <w:t xml:space="preserve">Certificates of Insurance as indicated below.  </w:t>
      </w:r>
    </w:p>
    <w:p w14:paraId="7D642E58" w14:textId="77777777" w:rsidR="00CF7DA0" w:rsidRPr="00784237" w:rsidRDefault="00CF7DA0" w:rsidP="00CF7DA0">
      <w:pPr>
        <w:rPr>
          <w:rFonts w:ascii="Times New Roman" w:hAnsi="Times New Roman" w:cs="Times New Roman"/>
        </w:rPr>
      </w:pPr>
    </w:p>
    <w:p w14:paraId="0752EC78" w14:textId="77777777" w:rsidR="00CF7DA0" w:rsidRPr="00784237" w:rsidRDefault="00CF7DA0" w:rsidP="00784237">
      <w:pPr>
        <w:pStyle w:val="Heading1"/>
        <w:ind w:left="1530"/>
        <w:rPr>
          <w:rFonts w:cs="Times New Roman"/>
          <w:b/>
          <w:bCs/>
        </w:rPr>
      </w:pPr>
      <w:r w:rsidRPr="00784237">
        <w:rPr>
          <w:rFonts w:cs="Times New Roman"/>
          <w:bCs/>
        </w:rPr>
        <w:t>MINIMUM SCOPE AND LIMITS OF INSURANCE</w:t>
      </w:r>
    </w:p>
    <w:p w14:paraId="13466CDF" w14:textId="77777777" w:rsidR="00CF7DA0" w:rsidRPr="00784237" w:rsidRDefault="00CF7DA0" w:rsidP="00784237">
      <w:pPr>
        <w:ind w:left="1530"/>
        <w:rPr>
          <w:rFonts w:ascii="Times New Roman" w:hAnsi="Times New Roman" w:cs="Times New Roman"/>
        </w:rPr>
      </w:pPr>
    </w:p>
    <w:p w14:paraId="0FCB601C" w14:textId="77777777" w:rsidR="00CF7DA0" w:rsidRPr="00784237" w:rsidRDefault="00CF7DA0" w:rsidP="00784237">
      <w:pPr>
        <w:pStyle w:val="BodyTextIndent"/>
        <w:numPr>
          <w:ilvl w:val="0"/>
          <w:numId w:val="5"/>
        </w:numPr>
        <w:snapToGrid w:val="0"/>
        <w:spacing w:after="0"/>
        <w:rPr>
          <w:rFonts w:ascii="Times New Roman" w:hAnsi="Times New Roman" w:cs="Times New Roman"/>
        </w:rPr>
      </w:pPr>
      <w:r w:rsidRPr="00784237">
        <w:rPr>
          <w:rFonts w:ascii="Times New Roman" w:hAnsi="Times New Roman" w:cs="Times New Roman"/>
        </w:rPr>
        <w:t>Comprehensive General Liability Insurance including Completed Operations Coverage, covering bodily injury, personal injury and property damage. Limits of Liability shall be not less than $1,000,000 Combined Single Limit.</w:t>
      </w:r>
    </w:p>
    <w:p w14:paraId="0832D563" w14:textId="77777777" w:rsidR="00CF7DA0" w:rsidRPr="00784237" w:rsidRDefault="00CF7DA0" w:rsidP="00784237">
      <w:pPr>
        <w:ind w:left="1530" w:hanging="720"/>
        <w:rPr>
          <w:rFonts w:ascii="Times New Roman" w:hAnsi="Times New Roman" w:cs="Times New Roman"/>
        </w:rPr>
      </w:pPr>
    </w:p>
    <w:p w14:paraId="2130E7D2" w14:textId="77777777" w:rsidR="00CF7DA0" w:rsidRPr="00784237" w:rsidRDefault="00CF7DA0" w:rsidP="00784237">
      <w:pPr>
        <w:pStyle w:val="ListParagraph"/>
        <w:numPr>
          <w:ilvl w:val="0"/>
          <w:numId w:val="5"/>
        </w:numPr>
        <w:snapToGrid w:val="0"/>
        <w:rPr>
          <w:rFonts w:ascii="Times New Roman" w:hAnsi="Times New Roman" w:cs="Times New Roman"/>
        </w:rPr>
      </w:pPr>
      <w:r w:rsidRPr="00784237">
        <w:rPr>
          <w:rFonts w:ascii="Times New Roman" w:hAnsi="Times New Roman" w:cs="Times New Roman"/>
        </w:rPr>
        <w:t>Workers’ Compensation and Employers Liability Insurance as required by the State Law of New Jersey.</w:t>
      </w:r>
    </w:p>
    <w:p w14:paraId="6C3A273F" w14:textId="77777777" w:rsidR="00CF7DA0" w:rsidRPr="00784237" w:rsidRDefault="00CF7DA0" w:rsidP="00784237">
      <w:pPr>
        <w:ind w:left="1530"/>
        <w:rPr>
          <w:rFonts w:ascii="Times New Roman" w:hAnsi="Times New Roman" w:cs="Times New Roman"/>
        </w:rPr>
      </w:pPr>
    </w:p>
    <w:p w14:paraId="0E00926D" w14:textId="77777777" w:rsidR="00CF7DA0" w:rsidRPr="00784237" w:rsidRDefault="00CF7DA0" w:rsidP="00784237">
      <w:pPr>
        <w:numPr>
          <w:ilvl w:val="0"/>
          <w:numId w:val="5"/>
        </w:numPr>
        <w:tabs>
          <w:tab w:val="left" w:pos="1142"/>
        </w:tabs>
        <w:spacing w:line="288" w:lineRule="auto"/>
        <w:ind w:right="116"/>
        <w:jc w:val="both"/>
        <w:rPr>
          <w:rFonts w:ascii="Times New Roman" w:eastAsia="Times New Roman" w:hAnsi="Times New Roman" w:cs="Times New Roman"/>
        </w:rPr>
      </w:pPr>
      <w:r w:rsidRPr="00784237">
        <w:rPr>
          <w:rFonts w:ascii="Times New Roman" w:hAnsi="Times New Roman" w:cs="Times New Roman"/>
        </w:rPr>
        <w:t xml:space="preserve">Commercial Automobile Liability Insurance, with limits of liability not less than $1,000,000 Combined Single Limit. </w:t>
      </w:r>
    </w:p>
    <w:p w14:paraId="46FE20DC" w14:textId="77777777" w:rsidR="00CF7DA0" w:rsidRPr="00784237" w:rsidRDefault="00CF7DA0" w:rsidP="00784237">
      <w:pPr>
        <w:pStyle w:val="ListParagraph"/>
        <w:rPr>
          <w:rFonts w:ascii="Times New Roman" w:eastAsia="Times New Roman" w:hAnsi="Times New Roman" w:cs="Times New Roman"/>
        </w:rPr>
      </w:pPr>
    </w:p>
    <w:p w14:paraId="1E3F79C8" w14:textId="67FA76E5" w:rsidR="00CF7DA0" w:rsidRPr="00784237" w:rsidRDefault="00CF7DA0" w:rsidP="00784237">
      <w:pPr>
        <w:pStyle w:val="ListParagraph"/>
        <w:numPr>
          <w:ilvl w:val="0"/>
          <w:numId w:val="1"/>
        </w:numPr>
        <w:tabs>
          <w:tab w:val="left" w:pos="1142"/>
        </w:tabs>
        <w:spacing w:line="288" w:lineRule="auto"/>
        <w:ind w:right="116"/>
        <w:jc w:val="both"/>
        <w:rPr>
          <w:rFonts w:ascii="Times New Roman" w:eastAsia="Times New Roman" w:hAnsi="Times New Roman" w:cs="Times New Roman"/>
        </w:rPr>
      </w:pPr>
      <w:r w:rsidRPr="00784237">
        <w:rPr>
          <w:rFonts w:ascii="Times New Roman" w:hAnsi="Times New Roman" w:cs="Times New Roman"/>
        </w:rPr>
        <w:t xml:space="preserve">None of the provisions of the </w:t>
      </w:r>
      <w:r w:rsidR="001E6506" w:rsidRPr="00784237">
        <w:rPr>
          <w:rFonts w:ascii="Times New Roman" w:hAnsi="Times New Roman" w:cs="Times New Roman"/>
        </w:rPr>
        <w:t>Agreement</w:t>
      </w:r>
      <w:r w:rsidRPr="00784237">
        <w:rPr>
          <w:rFonts w:ascii="Times New Roman" w:hAnsi="Times New Roman" w:cs="Times New Roman"/>
        </w:rPr>
        <w:t xml:space="preserve"> are intended to create nor shall be deemed or construed to create any relationship between the parties hereto other than that of independent entities contracting with each other solely for the purposes of effecting the provisions of the </w:t>
      </w:r>
      <w:r w:rsidR="001E6506" w:rsidRPr="00784237">
        <w:rPr>
          <w:rFonts w:ascii="Times New Roman" w:hAnsi="Times New Roman" w:cs="Times New Roman"/>
        </w:rPr>
        <w:t>Agreement</w:t>
      </w:r>
      <w:r w:rsidRPr="00784237">
        <w:rPr>
          <w:rFonts w:ascii="Times New Roman" w:hAnsi="Times New Roman" w:cs="Times New Roman"/>
        </w:rPr>
        <w:t xml:space="preserve">.  Neither of the </w:t>
      </w:r>
      <w:r w:rsidR="001C3F36" w:rsidRPr="00784237">
        <w:rPr>
          <w:rFonts w:ascii="Times New Roman" w:hAnsi="Times New Roman" w:cs="Times New Roman"/>
        </w:rPr>
        <w:t>P</w:t>
      </w:r>
      <w:r w:rsidRPr="00784237">
        <w:rPr>
          <w:rFonts w:ascii="Times New Roman" w:hAnsi="Times New Roman" w:cs="Times New Roman"/>
        </w:rPr>
        <w:t>arties, hereto, nor any of their respective officers, directors or employees, shall be construed to be the agent, employee or the representative of the other</w:t>
      </w:r>
      <w:r w:rsidR="001C3F36" w:rsidRPr="00784237">
        <w:rPr>
          <w:rFonts w:ascii="Times New Roman" w:hAnsi="Times New Roman" w:cs="Times New Roman"/>
        </w:rPr>
        <w:t xml:space="preserve"> Party</w:t>
      </w:r>
      <w:r w:rsidRPr="00784237">
        <w:rPr>
          <w:rFonts w:ascii="Times New Roman" w:hAnsi="Times New Roman" w:cs="Times New Roman"/>
        </w:rPr>
        <w:t xml:space="preserve">. </w:t>
      </w:r>
    </w:p>
    <w:p w14:paraId="042FA9AE" w14:textId="77777777" w:rsidR="00CF7DA0" w:rsidRPr="00784237" w:rsidRDefault="00CF7DA0" w:rsidP="00784237">
      <w:pPr>
        <w:pStyle w:val="ListParagraph"/>
        <w:tabs>
          <w:tab w:val="left" w:pos="1142"/>
        </w:tabs>
        <w:spacing w:line="288" w:lineRule="auto"/>
        <w:ind w:left="1156" w:right="116"/>
        <w:jc w:val="both"/>
        <w:rPr>
          <w:rFonts w:ascii="Times New Roman" w:eastAsia="Times New Roman" w:hAnsi="Times New Roman" w:cs="Times New Roman"/>
        </w:rPr>
      </w:pPr>
    </w:p>
    <w:p w14:paraId="338D1848" w14:textId="07F90556" w:rsidR="00CF7DA0" w:rsidRPr="00784237" w:rsidRDefault="001C3F36" w:rsidP="00784237">
      <w:pPr>
        <w:pStyle w:val="ListParagraph"/>
        <w:numPr>
          <w:ilvl w:val="0"/>
          <w:numId w:val="1"/>
        </w:numPr>
        <w:tabs>
          <w:tab w:val="left" w:pos="1142"/>
        </w:tabs>
        <w:spacing w:line="288" w:lineRule="auto"/>
        <w:ind w:right="116"/>
        <w:jc w:val="both"/>
        <w:rPr>
          <w:rFonts w:ascii="Times New Roman" w:eastAsia="Times New Roman" w:hAnsi="Times New Roman" w:cs="Times New Roman"/>
        </w:rPr>
      </w:pPr>
      <w:r w:rsidRPr="00784237">
        <w:rPr>
          <w:rFonts w:ascii="Times New Roman" w:hAnsi="Times New Roman" w:cs="Times New Roman"/>
        </w:rPr>
        <w:t xml:space="preserve">Each </w:t>
      </w:r>
      <w:r w:rsidR="00CF7DA0" w:rsidRPr="00784237">
        <w:rPr>
          <w:rFonts w:ascii="Times New Roman" w:hAnsi="Times New Roman" w:cs="Times New Roman"/>
        </w:rPr>
        <w:t>Part</w:t>
      </w:r>
      <w:r w:rsidRPr="00784237">
        <w:rPr>
          <w:rFonts w:ascii="Times New Roman" w:hAnsi="Times New Roman" w:cs="Times New Roman"/>
        </w:rPr>
        <w:t>y</w:t>
      </w:r>
      <w:r w:rsidR="00CF7DA0" w:rsidRPr="00784237">
        <w:rPr>
          <w:rFonts w:ascii="Times New Roman" w:hAnsi="Times New Roman" w:cs="Times New Roman"/>
        </w:rPr>
        <w:t xml:space="preserve"> shall ensure that each worker(s), subcontractors(s), agent(s) and representative(s) assigned to a school location or to a project involving contact with children will comply with </w:t>
      </w:r>
      <w:r w:rsidRPr="00784237">
        <w:rPr>
          <w:rFonts w:ascii="Times New Roman" w:hAnsi="Times New Roman" w:cs="Times New Roman"/>
        </w:rPr>
        <w:t>each Party’s respective c</w:t>
      </w:r>
      <w:r w:rsidR="00CF7DA0" w:rsidRPr="00784237">
        <w:rPr>
          <w:rFonts w:ascii="Times New Roman" w:hAnsi="Times New Roman" w:cs="Times New Roman"/>
        </w:rPr>
        <w:t xml:space="preserve">onduct policy as well as all local, state and federal laws and regulations, including those related to public health.  </w:t>
      </w:r>
      <w:r w:rsidRPr="00784237">
        <w:rPr>
          <w:rFonts w:ascii="Times New Roman" w:hAnsi="Times New Roman" w:cs="Times New Roman"/>
        </w:rPr>
        <w:t xml:space="preserve">Each </w:t>
      </w:r>
      <w:r w:rsidR="00CF7DA0" w:rsidRPr="00784237">
        <w:rPr>
          <w:rFonts w:ascii="Times New Roman" w:hAnsi="Times New Roman" w:cs="Times New Roman"/>
        </w:rPr>
        <w:t>Part</w:t>
      </w:r>
      <w:r w:rsidRPr="00784237">
        <w:rPr>
          <w:rFonts w:ascii="Times New Roman" w:hAnsi="Times New Roman" w:cs="Times New Roman"/>
        </w:rPr>
        <w:t>y</w:t>
      </w:r>
      <w:r w:rsidR="00CF7DA0" w:rsidRPr="00784237">
        <w:rPr>
          <w:rFonts w:ascii="Times New Roman" w:hAnsi="Times New Roman" w:cs="Times New Roman"/>
        </w:rPr>
        <w:t xml:space="preserve"> also agrees to abide by any safety regulations, executive orders and/or state mandates that may be issued by any state or federal agency governing and/or relating to maintaining the public health and safety including, but not limited to, the use of temperature checks, masks, gloves</w:t>
      </w:r>
      <w:r w:rsidR="00610360">
        <w:rPr>
          <w:rFonts w:ascii="Times New Roman" w:hAnsi="Times New Roman" w:cs="Times New Roman"/>
        </w:rPr>
        <w:t>, vaccinations, COVID testing</w:t>
      </w:r>
      <w:r w:rsidR="00CF7DA0" w:rsidRPr="00784237">
        <w:rPr>
          <w:rFonts w:ascii="Times New Roman" w:hAnsi="Times New Roman" w:cs="Times New Roman"/>
        </w:rPr>
        <w:t xml:space="preserve"> and social distancing.  Should any of </w:t>
      </w:r>
      <w:r w:rsidRPr="00784237">
        <w:rPr>
          <w:rFonts w:ascii="Times New Roman" w:hAnsi="Times New Roman" w:cs="Times New Roman"/>
        </w:rPr>
        <w:t xml:space="preserve">either </w:t>
      </w:r>
      <w:r w:rsidR="00CF7DA0" w:rsidRPr="00784237">
        <w:rPr>
          <w:rFonts w:ascii="Times New Roman" w:hAnsi="Times New Roman" w:cs="Times New Roman"/>
        </w:rPr>
        <w:t>Part</w:t>
      </w:r>
      <w:r w:rsidRPr="00784237">
        <w:rPr>
          <w:rFonts w:ascii="Times New Roman" w:hAnsi="Times New Roman" w:cs="Times New Roman"/>
        </w:rPr>
        <w:t>ies</w:t>
      </w:r>
      <w:r w:rsidR="00CF7DA0" w:rsidRPr="00784237">
        <w:rPr>
          <w:rFonts w:ascii="Times New Roman" w:hAnsi="Times New Roman" w:cs="Times New Roman"/>
        </w:rPr>
        <w:t xml:space="preserve">’ worker(s), subcontractors(s), agent(s) and/or representative(s) violate any </w:t>
      </w:r>
      <w:r w:rsidRPr="00784237">
        <w:rPr>
          <w:rFonts w:ascii="Times New Roman" w:hAnsi="Times New Roman" w:cs="Times New Roman"/>
        </w:rPr>
        <w:t xml:space="preserve">Party’s respective </w:t>
      </w:r>
      <w:r w:rsidR="00CF7DA0" w:rsidRPr="00784237">
        <w:rPr>
          <w:rFonts w:ascii="Times New Roman" w:hAnsi="Times New Roman" w:cs="Times New Roman"/>
        </w:rPr>
        <w:t xml:space="preserve">policy or public health and safety policy, the </w:t>
      </w:r>
      <w:r w:rsidRPr="00784237">
        <w:rPr>
          <w:rFonts w:ascii="Times New Roman" w:hAnsi="Times New Roman" w:cs="Times New Roman"/>
        </w:rPr>
        <w:t>other Party</w:t>
      </w:r>
      <w:r w:rsidR="00CF7DA0" w:rsidRPr="00784237">
        <w:rPr>
          <w:rFonts w:ascii="Times New Roman" w:hAnsi="Times New Roman" w:cs="Times New Roman"/>
        </w:rPr>
        <w:t xml:space="preserve"> retains the right to request and have </w:t>
      </w:r>
      <w:r w:rsidRPr="00784237">
        <w:rPr>
          <w:rFonts w:ascii="Times New Roman" w:hAnsi="Times New Roman" w:cs="Times New Roman"/>
        </w:rPr>
        <w:t xml:space="preserve">the other </w:t>
      </w:r>
      <w:r w:rsidR="00CF7DA0" w:rsidRPr="00784237">
        <w:rPr>
          <w:rFonts w:ascii="Times New Roman" w:hAnsi="Times New Roman" w:cs="Times New Roman"/>
        </w:rPr>
        <w:t>Part</w:t>
      </w:r>
      <w:r w:rsidRPr="00784237">
        <w:rPr>
          <w:rFonts w:ascii="Times New Roman" w:hAnsi="Times New Roman" w:cs="Times New Roman"/>
        </w:rPr>
        <w:t>y</w:t>
      </w:r>
      <w:r w:rsidR="00CF7DA0" w:rsidRPr="00784237">
        <w:rPr>
          <w:rFonts w:ascii="Times New Roman" w:hAnsi="Times New Roman" w:cs="Times New Roman"/>
        </w:rPr>
        <w:t xml:space="preserve"> remove said worker(s), subcontractors(s), agent(s) and representative(s) from the school location and/or the program altogether. </w:t>
      </w:r>
    </w:p>
    <w:p w14:paraId="46E9521B" w14:textId="77777777" w:rsidR="00CF7DA0" w:rsidRPr="00784237" w:rsidRDefault="00CF7DA0" w:rsidP="00784237">
      <w:pPr>
        <w:pStyle w:val="ListParagraph"/>
        <w:rPr>
          <w:rFonts w:ascii="Times New Roman" w:eastAsia="Times New Roman" w:hAnsi="Times New Roman" w:cs="Times New Roman"/>
        </w:rPr>
      </w:pPr>
    </w:p>
    <w:p w14:paraId="7FFFA860" w14:textId="77777777" w:rsidR="00CF7DA0" w:rsidRPr="00784237" w:rsidRDefault="00CF7DA0" w:rsidP="00784237">
      <w:pPr>
        <w:pStyle w:val="ListParagraph"/>
        <w:numPr>
          <w:ilvl w:val="0"/>
          <w:numId w:val="1"/>
        </w:numPr>
        <w:tabs>
          <w:tab w:val="left" w:pos="1142"/>
        </w:tabs>
        <w:spacing w:line="288" w:lineRule="auto"/>
        <w:ind w:right="116"/>
        <w:jc w:val="both"/>
        <w:rPr>
          <w:rFonts w:ascii="Times New Roman" w:eastAsia="Times New Roman" w:hAnsi="Times New Roman" w:cs="Times New Roman"/>
        </w:rPr>
      </w:pPr>
      <w:r w:rsidRPr="00784237">
        <w:rPr>
          <w:rFonts w:ascii="Times New Roman" w:hAnsi="Times New Roman" w:cs="Times New Roman"/>
        </w:rPr>
        <w:t xml:space="preserve">This </w:t>
      </w:r>
      <w:r w:rsidR="001E6506" w:rsidRPr="00784237">
        <w:rPr>
          <w:rFonts w:ascii="Times New Roman" w:hAnsi="Times New Roman" w:cs="Times New Roman"/>
        </w:rPr>
        <w:t>Agreement</w:t>
      </w:r>
      <w:r w:rsidRPr="00784237">
        <w:rPr>
          <w:rFonts w:ascii="Times New Roman" w:hAnsi="Times New Roman" w:cs="Times New Roman"/>
        </w:rPr>
        <w:t xml:space="preserve"> may only be amended or modified by mutual written consent of the parties.</w:t>
      </w:r>
    </w:p>
    <w:p w14:paraId="0DEB7186" w14:textId="05373DB5" w:rsidR="00CF7DA0" w:rsidRDefault="00CF7DA0" w:rsidP="00784237">
      <w:pPr>
        <w:tabs>
          <w:tab w:val="left" w:pos="1142"/>
        </w:tabs>
        <w:spacing w:line="288" w:lineRule="auto"/>
        <w:ind w:right="116"/>
        <w:jc w:val="both"/>
        <w:rPr>
          <w:rFonts w:ascii="Times New Roman" w:eastAsia="Times New Roman" w:hAnsi="Times New Roman" w:cs="Times New Roman"/>
        </w:rPr>
      </w:pPr>
    </w:p>
    <w:p w14:paraId="427AE235" w14:textId="77777777" w:rsidR="00FE7CAF" w:rsidRDefault="00FE7CAF" w:rsidP="007B5BE7">
      <w:pPr>
        <w:tabs>
          <w:tab w:val="left" w:pos="1142"/>
        </w:tabs>
        <w:spacing w:line="288" w:lineRule="auto"/>
        <w:ind w:left="1156" w:right="116"/>
        <w:jc w:val="both"/>
        <w:rPr>
          <w:rFonts w:ascii="Times New Roman" w:eastAsia="Times New Roman" w:hAnsi="Times New Roman" w:cs="Times New Roman"/>
        </w:rPr>
      </w:pPr>
    </w:p>
    <w:p w14:paraId="11045C2B" w14:textId="77777777" w:rsidR="00FE7CAF" w:rsidRDefault="00FE7CAF" w:rsidP="007B5BE7">
      <w:pPr>
        <w:tabs>
          <w:tab w:val="left" w:pos="1142"/>
        </w:tabs>
        <w:spacing w:line="288" w:lineRule="auto"/>
        <w:ind w:left="1156" w:right="116"/>
        <w:jc w:val="both"/>
        <w:rPr>
          <w:rFonts w:ascii="Times New Roman" w:eastAsia="Times New Roman" w:hAnsi="Times New Roman" w:cs="Times New Roman"/>
        </w:rPr>
      </w:pPr>
    </w:p>
    <w:p w14:paraId="3346F902" w14:textId="6F50A95F" w:rsidR="00610360" w:rsidRPr="00784237" w:rsidRDefault="00166806" w:rsidP="00713FCA">
      <w:pPr>
        <w:tabs>
          <w:tab w:val="left" w:pos="0"/>
        </w:tabs>
        <w:spacing w:line="288" w:lineRule="auto"/>
        <w:ind w:right="116"/>
        <w:jc w:val="center"/>
        <w:rPr>
          <w:rFonts w:ascii="Times New Roman" w:eastAsia="Times New Roman" w:hAnsi="Times New Roman" w:cs="Times New Roman"/>
        </w:rPr>
      </w:pPr>
      <w:r>
        <w:rPr>
          <w:rFonts w:ascii="Times New Roman" w:eastAsia="Times New Roman" w:hAnsi="Times New Roman" w:cs="Times New Roman"/>
        </w:rPr>
        <w:t>[</w:t>
      </w:r>
      <w:r w:rsidR="00610360">
        <w:rPr>
          <w:rFonts w:ascii="Times New Roman" w:eastAsia="Times New Roman" w:hAnsi="Times New Roman" w:cs="Times New Roman"/>
        </w:rPr>
        <w:t>Signatures on next page.</w:t>
      </w:r>
      <w:r>
        <w:rPr>
          <w:rFonts w:ascii="Times New Roman" w:eastAsia="Times New Roman" w:hAnsi="Times New Roman" w:cs="Times New Roman"/>
        </w:rPr>
        <w:t>]</w:t>
      </w:r>
    </w:p>
    <w:p w14:paraId="1C6EE4E5" w14:textId="77777777" w:rsidR="00EC4EAC" w:rsidRDefault="00EC4EAC">
      <w:pPr>
        <w:spacing w:before="1"/>
        <w:rPr>
          <w:rFonts w:ascii="Times New Roman" w:eastAsia="Times New Roman" w:hAnsi="Times New Roman" w:cs="Times New Roman"/>
          <w:sz w:val="23"/>
          <w:szCs w:val="23"/>
        </w:rPr>
      </w:pPr>
    </w:p>
    <w:p w14:paraId="670CC650" w14:textId="7CA9D1D7" w:rsidR="00784237" w:rsidRDefault="00784237" w:rsidP="00FE7CAF">
      <w:pPr>
        <w:rPr>
          <w:rFonts w:ascii="Times New Roman" w:eastAsia="Times New Roman" w:hAnsi="Times New Roman" w:cs="Times New Roman"/>
          <w:b/>
        </w:rPr>
      </w:pPr>
      <w:r>
        <w:rPr>
          <w:rFonts w:ascii="Times New Roman" w:eastAsia="Times New Roman" w:hAnsi="Times New Roman" w:cs="Times New Roman"/>
          <w:b/>
        </w:rPr>
        <w:br w:type="page"/>
      </w:r>
    </w:p>
    <w:p w14:paraId="37258173" w14:textId="77777777" w:rsidR="00784237" w:rsidRDefault="00784237">
      <w:pPr>
        <w:tabs>
          <w:tab w:val="left" w:pos="5721"/>
        </w:tabs>
        <w:ind w:left="796"/>
        <w:rPr>
          <w:rFonts w:ascii="Times New Roman" w:eastAsia="Times New Roman" w:hAnsi="Times New Roman" w:cs="Times New Roman"/>
          <w:b/>
        </w:rPr>
      </w:pPr>
    </w:p>
    <w:p w14:paraId="654FD60B" w14:textId="7020D8AE" w:rsidR="00EC4EAC" w:rsidRDefault="001E6506">
      <w:pPr>
        <w:tabs>
          <w:tab w:val="left" w:pos="5721"/>
        </w:tabs>
        <w:ind w:left="796"/>
        <w:rPr>
          <w:rFonts w:ascii="Times New Roman" w:eastAsia="Times New Roman" w:hAnsi="Times New Roman" w:cs="Times New Roman"/>
          <w:b/>
        </w:rPr>
      </w:pPr>
      <w:r>
        <w:rPr>
          <w:rFonts w:ascii="Times New Roman" w:eastAsia="Times New Roman" w:hAnsi="Times New Roman" w:cs="Times New Roman"/>
          <w:b/>
        </w:rPr>
        <w:t>Bergen Community College</w:t>
      </w:r>
      <w:r>
        <w:rPr>
          <w:rFonts w:ascii="Times New Roman" w:eastAsia="Times New Roman" w:hAnsi="Times New Roman" w:cs="Times New Roman"/>
        </w:rPr>
        <w:tab/>
      </w:r>
      <w:r w:rsidR="00CF7DA0">
        <w:rPr>
          <w:rFonts w:ascii="Times New Roman" w:eastAsia="Times New Roman" w:hAnsi="Times New Roman" w:cs="Times New Roman"/>
          <w:b/>
        </w:rPr>
        <w:t>Newark Board of Education</w:t>
      </w:r>
    </w:p>
    <w:p w14:paraId="42D34E52" w14:textId="77777777" w:rsidR="00EC4EAC" w:rsidRDefault="00EC4EAC">
      <w:pPr>
        <w:tabs>
          <w:tab w:val="left" w:pos="5721"/>
        </w:tabs>
        <w:ind w:left="796"/>
        <w:rPr>
          <w:rFonts w:ascii="Times New Roman" w:eastAsia="Times New Roman" w:hAnsi="Times New Roman" w:cs="Times New Roman"/>
        </w:rPr>
      </w:pPr>
    </w:p>
    <w:p w14:paraId="3F706FF6" w14:textId="77777777" w:rsidR="00EC4EAC" w:rsidRDefault="00EC4EAC">
      <w:pPr>
        <w:tabs>
          <w:tab w:val="left" w:pos="5721"/>
        </w:tabs>
        <w:ind w:left="796"/>
        <w:rPr>
          <w:rFonts w:ascii="Times New Roman" w:eastAsia="Times New Roman" w:hAnsi="Times New Roman" w:cs="Times New Roman"/>
        </w:rPr>
      </w:pPr>
    </w:p>
    <w:p w14:paraId="578417D8" w14:textId="77777777" w:rsidR="00EC4EAC" w:rsidRDefault="001E6506">
      <w:pPr>
        <w:tabs>
          <w:tab w:val="left" w:pos="5721"/>
        </w:tabs>
        <w:ind w:left="796"/>
        <w:rPr>
          <w:rFonts w:ascii="Times New Roman" w:eastAsia="Times New Roman" w:hAnsi="Times New Roman" w:cs="Times New Roman"/>
        </w:rPr>
      </w:pPr>
      <w:r>
        <w:rPr>
          <w:rFonts w:ascii="Times New Roman" w:eastAsia="Times New Roman" w:hAnsi="Times New Roman" w:cs="Times New Roman"/>
        </w:rPr>
        <w:t>___________________________</w:t>
      </w:r>
      <w:r>
        <w:rPr>
          <w:rFonts w:ascii="Times New Roman" w:eastAsia="Times New Roman" w:hAnsi="Times New Roman" w:cs="Times New Roman"/>
        </w:rPr>
        <w:tab/>
        <w:t>________________________________</w:t>
      </w:r>
    </w:p>
    <w:p w14:paraId="01938D64" w14:textId="12FDACDC" w:rsidR="00EC4EAC" w:rsidRDefault="001E6506">
      <w:pPr>
        <w:pStyle w:val="Heading1"/>
        <w:tabs>
          <w:tab w:val="left" w:pos="5494"/>
        </w:tabs>
        <w:spacing w:before="57" w:line="249" w:lineRule="auto"/>
        <w:ind w:left="785" w:right="1574" w:firstLine="7"/>
      </w:pPr>
      <w:r>
        <w:t>Dr. Brock Fisher</w:t>
      </w:r>
      <w:r>
        <w:tab/>
      </w:r>
      <w:r>
        <w:tab/>
      </w:r>
      <w:r w:rsidR="00610360">
        <w:t>Dawn Haynes</w:t>
      </w:r>
    </w:p>
    <w:p w14:paraId="14A3F997" w14:textId="680BC9F4" w:rsidR="00EC4EAC" w:rsidRDefault="001E6506">
      <w:pPr>
        <w:pStyle w:val="Heading1"/>
        <w:tabs>
          <w:tab w:val="left" w:pos="5494"/>
        </w:tabs>
        <w:spacing w:before="57" w:line="249" w:lineRule="auto"/>
        <w:ind w:left="785" w:right="1574" w:firstLine="7"/>
        <w:rPr>
          <w:sz w:val="20"/>
          <w:szCs w:val="20"/>
        </w:rPr>
      </w:pPr>
      <w:r>
        <w:t>Vice President of Academic Affairs</w:t>
      </w:r>
      <w:r w:rsidR="00610360">
        <w:tab/>
      </w:r>
      <w:r w:rsidR="00610360">
        <w:tab/>
        <w:t>Board President</w:t>
      </w:r>
    </w:p>
    <w:p w14:paraId="71AADB8A" w14:textId="77777777" w:rsidR="00EC4EAC" w:rsidRDefault="00EC4EAC">
      <w:pPr>
        <w:spacing w:before="2"/>
        <w:rPr>
          <w:rFonts w:ascii="Times New Roman" w:eastAsia="Times New Roman" w:hAnsi="Times New Roman" w:cs="Times New Roman"/>
          <w:sz w:val="24"/>
          <w:szCs w:val="24"/>
        </w:rPr>
      </w:pPr>
    </w:p>
    <w:p w14:paraId="42B51FA0" w14:textId="77777777" w:rsidR="00EC4EAC" w:rsidRDefault="00EC4EAC">
      <w:pPr>
        <w:rPr>
          <w:rFonts w:ascii="Times New Roman" w:eastAsia="Times New Roman" w:hAnsi="Times New Roman" w:cs="Times New Roman"/>
          <w:sz w:val="24"/>
          <w:szCs w:val="24"/>
        </w:rPr>
        <w:sectPr w:rsidR="00EC4EAC" w:rsidSect="00784237">
          <w:headerReference w:type="default" r:id="rId10"/>
          <w:footerReference w:type="default" r:id="rId11"/>
          <w:pgSz w:w="12170" w:h="15790"/>
          <w:pgMar w:top="720" w:right="1260" w:bottom="1530" w:left="640" w:header="520" w:footer="720" w:gutter="0"/>
          <w:pgNumType w:start="1"/>
          <w:cols w:space="720"/>
        </w:sectPr>
      </w:pPr>
    </w:p>
    <w:p w14:paraId="398B214E" w14:textId="77777777" w:rsidR="00EC4EAC" w:rsidRDefault="00EC4EAC">
      <w:pPr>
        <w:spacing w:before="9"/>
        <w:rPr>
          <w:rFonts w:ascii="Times New Roman" w:eastAsia="Times New Roman" w:hAnsi="Times New Roman" w:cs="Times New Roman"/>
          <w:sz w:val="29"/>
          <w:szCs w:val="29"/>
        </w:rPr>
      </w:pPr>
    </w:p>
    <w:p w14:paraId="2989818F" w14:textId="274F94DF" w:rsidR="00EC4EAC" w:rsidRDefault="001E6506">
      <w:pPr>
        <w:tabs>
          <w:tab w:val="left" w:pos="2099"/>
          <w:tab w:val="left" w:pos="3639"/>
        </w:tabs>
        <w:ind w:left="796"/>
        <w:rPr>
          <w:rFonts w:ascii="Times New Roman" w:eastAsia="Times New Roman" w:hAnsi="Times New Roman" w:cs="Times New Roman"/>
          <w:sz w:val="20"/>
          <w:szCs w:val="20"/>
        </w:rPr>
      </w:pPr>
      <w:r>
        <w:rPr>
          <w:rFonts w:ascii="Times New Roman" w:eastAsia="Times New Roman" w:hAnsi="Times New Roman" w:cs="Times New Roman"/>
          <w:sz w:val="20"/>
          <w:szCs w:val="20"/>
        </w:rPr>
        <w:t>Date:________________________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610360">
        <w:rPr>
          <w:rFonts w:ascii="Times New Roman" w:eastAsia="Times New Roman" w:hAnsi="Times New Roman" w:cs="Times New Roman"/>
          <w:sz w:val="20"/>
          <w:szCs w:val="20"/>
        </w:rPr>
        <w:tab/>
      </w:r>
      <w:r>
        <w:rPr>
          <w:rFonts w:ascii="Times New Roman" w:eastAsia="Times New Roman" w:hAnsi="Times New Roman" w:cs="Times New Roman"/>
          <w:sz w:val="20"/>
          <w:szCs w:val="20"/>
        </w:rPr>
        <w:t>Date:_____________________________</w:t>
      </w:r>
    </w:p>
    <w:p w14:paraId="1B3C04B9" w14:textId="77777777" w:rsidR="00EC4EAC" w:rsidRDefault="00EC4EAC">
      <w:pPr>
        <w:rPr>
          <w:rFonts w:ascii="Times New Roman" w:eastAsia="Times New Roman" w:hAnsi="Times New Roman" w:cs="Times New Roman"/>
          <w:sz w:val="20"/>
          <w:szCs w:val="20"/>
        </w:rPr>
      </w:pPr>
    </w:p>
    <w:p w14:paraId="688DE267" w14:textId="77777777" w:rsidR="00EC4EAC" w:rsidRDefault="00EC4EAC">
      <w:pPr>
        <w:rPr>
          <w:rFonts w:ascii="Arial" w:eastAsia="Arial" w:hAnsi="Arial" w:cs="Arial"/>
          <w:sz w:val="20"/>
          <w:szCs w:val="20"/>
        </w:rPr>
      </w:pPr>
    </w:p>
    <w:p w14:paraId="26338846" w14:textId="77777777" w:rsidR="00EC4EAC" w:rsidRDefault="00EC4EAC">
      <w:pPr>
        <w:spacing w:before="11"/>
        <w:rPr>
          <w:rFonts w:ascii="Arial" w:eastAsia="Arial" w:hAnsi="Arial" w:cs="Arial"/>
          <w:sz w:val="19"/>
          <w:szCs w:val="19"/>
        </w:rPr>
      </w:pPr>
    </w:p>
    <w:p w14:paraId="21FFACC3" w14:textId="77777777" w:rsidR="00EC4EAC" w:rsidRDefault="001E6506">
      <w:pPr>
        <w:tabs>
          <w:tab w:val="left" w:pos="2009"/>
          <w:tab w:val="left" w:pos="2977"/>
          <w:tab w:val="left" w:pos="3460"/>
          <w:tab w:val="left" w:pos="4882"/>
          <w:tab w:val="left" w:pos="5854"/>
          <w:tab w:val="left" w:pos="6613"/>
          <w:tab w:val="left" w:pos="7117"/>
          <w:tab w:val="left" w:pos="8554"/>
          <w:tab w:val="left" w:pos="9976"/>
        </w:tabs>
        <w:spacing w:line="323" w:lineRule="auto"/>
        <w:ind w:left="810" w:right="121"/>
        <w:rPr>
          <w:rFonts w:ascii="Arial" w:eastAsia="Arial" w:hAnsi="Arial" w:cs="Arial"/>
          <w:sz w:val="20"/>
          <w:szCs w:val="20"/>
        </w:rPr>
      </w:pPr>
      <w:r>
        <w:rPr>
          <w:rFonts w:ascii="Arial" w:eastAsia="Arial" w:hAnsi="Arial" w:cs="Arial"/>
          <w:i/>
          <w:sz w:val="20"/>
          <w:szCs w:val="20"/>
        </w:rPr>
        <w:t>*Master's Degree in Appropriate Subject Area</w:t>
      </w:r>
      <w:r>
        <w:rPr>
          <w:rFonts w:ascii="Arial" w:eastAsia="Arial" w:hAnsi="Arial" w:cs="Arial"/>
          <w:i/>
          <w:sz w:val="20"/>
          <w:szCs w:val="20"/>
        </w:rPr>
        <w:tab/>
        <w:t>or Professional Competency in Vocational/Technology Preparatory Courses as approved by BCC Divisional Dean/Chair</w:t>
      </w:r>
    </w:p>
    <w:sectPr w:rsidR="00EC4EAC">
      <w:type w:val="continuous"/>
      <w:pgSz w:w="12170" w:h="15790"/>
      <w:pgMar w:top="720" w:right="126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06B4B" w14:textId="77777777" w:rsidR="00ED5BC8" w:rsidRDefault="00ED5BC8">
      <w:r>
        <w:separator/>
      </w:r>
    </w:p>
  </w:endnote>
  <w:endnote w:type="continuationSeparator" w:id="0">
    <w:p w14:paraId="6B436D10" w14:textId="77777777" w:rsidR="00ED5BC8" w:rsidRDefault="00ED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49362"/>
      <w:docPartObj>
        <w:docPartGallery w:val="Page Numbers (Bottom of Page)"/>
        <w:docPartUnique/>
      </w:docPartObj>
    </w:sdtPr>
    <w:sdtEndPr>
      <w:rPr>
        <w:noProof/>
      </w:rPr>
    </w:sdtEndPr>
    <w:sdtContent>
      <w:p w14:paraId="5413D660" w14:textId="050FFD02" w:rsidR="00610360" w:rsidRDefault="00610360" w:rsidP="001218D7">
        <w:pPr>
          <w:pStyle w:val="Footer"/>
          <w:tabs>
            <w:tab w:val="clear" w:pos="4680"/>
            <w:tab w:val="center" w:pos="5040"/>
          </w:tabs>
          <w:jc w:val="center"/>
        </w:pPr>
        <w:r>
          <w:fldChar w:fldCharType="begin"/>
        </w:r>
        <w:r>
          <w:instrText xml:space="preserve"> PAGE   \* MERGEFORMAT </w:instrText>
        </w:r>
        <w:r>
          <w:fldChar w:fldCharType="separate"/>
        </w:r>
        <w:r w:rsidR="00291DEB">
          <w:rPr>
            <w:noProof/>
          </w:rPr>
          <w:t>4</w:t>
        </w:r>
        <w:r>
          <w:rPr>
            <w:noProof/>
          </w:rPr>
          <w:fldChar w:fldCharType="end"/>
        </w:r>
      </w:p>
    </w:sdtContent>
  </w:sdt>
  <w:p w14:paraId="25FEBB3B" w14:textId="77777777" w:rsidR="00610360" w:rsidRDefault="006103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1CA5B" w14:textId="77777777" w:rsidR="00ED5BC8" w:rsidRDefault="00ED5BC8">
      <w:r>
        <w:separator/>
      </w:r>
    </w:p>
  </w:footnote>
  <w:footnote w:type="continuationSeparator" w:id="0">
    <w:p w14:paraId="385E54BB" w14:textId="77777777" w:rsidR="00ED5BC8" w:rsidRDefault="00ED5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12D1" w14:textId="77777777" w:rsidR="00EC4EAC" w:rsidRDefault="001E6506">
    <w:pPr>
      <w:spacing w:line="14" w:lineRule="auto"/>
      <w:rPr>
        <w:sz w:val="20"/>
        <w:szCs w:val="20"/>
      </w:rPr>
    </w:pPr>
    <w:r>
      <w:rPr>
        <w:noProof/>
      </w:rPr>
      <w:drawing>
        <wp:anchor distT="0" distB="0" distL="0" distR="0" simplePos="0" relativeHeight="251658240" behindDoc="0" locked="0" layoutInCell="1" hidden="0" allowOverlap="1" wp14:anchorId="41E7889F" wp14:editId="6A7125B5">
          <wp:simplePos x="0" y="0"/>
          <wp:positionH relativeFrom="page">
            <wp:posOffset>475615</wp:posOffset>
          </wp:positionH>
          <wp:positionV relativeFrom="page">
            <wp:posOffset>393065</wp:posOffset>
          </wp:positionV>
          <wp:extent cx="475615" cy="64135"/>
          <wp:effectExtent l="0" t="0" r="0" b="0"/>
          <wp:wrapSquare wrapText="bothSides" distT="0" distB="0" distL="0" distR="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5615" cy="641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7C5"/>
    <w:multiLevelType w:val="multilevel"/>
    <w:tmpl w:val="76B81278"/>
    <w:lvl w:ilvl="0">
      <w:start w:val="4"/>
      <w:numFmt w:val="decimal"/>
      <w:lvlText w:val="%1."/>
      <w:lvlJc w:val="left"/>
      <w:pPr>
        <w:ind w:left="1156" w:hanging="360"/>
      </w:pPr>
      <w:rPr>
        <w:rFonts w:ascii="Times New Roman" w:eastAsia="Times New Roman" w:hAnsi="Times New Roman" w:cs="Times New Roman"/>
        <w:sz w:val="21"/>
        <w:szCs w:val="21"/>
      </w:rPr>
    </w:lvl>
    <w:lvl w:ilvl="1">
      <w:start w:val="1"/>
      <w:numFmt w:val="bullet"/>
      <w:lvlText w:val="•"/>
      <w:lvlJc w:val="left"/>
      <w:pPr>
        <w:ind w:left="2067" w:hanging="360"/>
      </w:pPr>
    </w:lvl>
    <w:lvl w:ilvl="2">
      <w:start w:val="1"/>
      <w:numFmt w:val="bullet"/>
      <w:lvlText w:val="•"/>
      <w:lvlJc w:val="left"/>
      <w:pPr>
        <w:ind w:left="2978" w:hanging="360"/>
      </w:pPr>
    </w:lvl>
    <w:lvl w:ilvl="3">
      <w:start w:val="1"/>
      <w:numFmt w:val="bullet"/>
      <w:lvlText w:val="•"/>
      <w:lvlJc w:val="left"/>
      <w:pPr>
        <w:ind w:left="3889" w:hanging="360"/>
      </w:pPr>
    </w:lvl>
    <w:lvl w:ilvl="4">
      <w:start w:val="1"/>
      <w:numFmt w:val="bullet"/>
      <w:lvlText w:val="•"/>
      <w:lvlJc w:val="left"/>
      <w:pPr>
        <w:ind w:left="4801" w:hanging="360"/>
      </w:pPr>
    </w:lvl>
    <w:lvl w:ilvl="5">
      <w:start w:val="1"/>
      <w:numFmt w:val="bullet"/>
      <w:lvlText w:val="•"/>
      <w:lvlJc w:val="left"/>
      <w:pPr>
        <w:ind w:left="5712" w:hanging="360"/>
      </w:pPr>
    </w:lvl>
    <w:lvl w:ilvl="6">
      <w:start w:val="1"/>
      <w:numFmt w:val="bullet"/>
      <w:lvlText w:val="•"/>
      <w:lvlJc w:val="left"/>
      <w:pPr>
        <w:ind w:left="6623" w:hanging="360"/>
      </w:pPr>
    </w:lvl>
    <w:lvl w:ilvl="7">
      <w:start w:val="1"/>
      <w:numFmt w:val="bullet"/>
      <w:lvlText w:val="•"/>
      <w:lvlJc w:val="left"/>
      <w:pPr>
        <w:ind w:left="7534" w:hanging="360"/>
      </w:pPr>
    </w:lvl>
    <w:lvl w:ilvl="8">
      <w:start w:val="1"/>
      <w:numFmt w:val="bullet"/>
      <w:lvlText w:val="•"/>
      <w:lvlJc w:val="left"/>
      <w:pPr>
        <w:ind w:left="8445" w:hanging="360"/>
      </w:pPr>
    </w:lvl>
  </w:abstractNum>
  <w:abstractNum w:abstractNumId="1" w15:restartNumberingAfterBreak="0">
    <w:nsid w:val="186C1F63"/>
    <w:multiLevelType w:val="singleLevel"/>
    <w:tmpl w:val="F2EE48B0"/>
    <w:lvl w:ilvl="0">
      <w:start w:val="1"/>
      <w:numFmt w:val="lowerLetter"/>
      <w:lvlText w:val="%1."/>
      <w:lvlJc w:val="left"/>
      <w:pPr>
        <w:tabs>
          <w:tab w:val="num" w:pos="360"/>
        </w:tabs>
        <w:ind w:left="360" w:hanging="360"/>
      </w:pPr>
    </w:lvl>
  </w:abstractNum>
  <w:abstractNum w:abstractNumId="2" w15:restartNumberingAfterBreak="0">
    <w:nsid w:val="1FE706CF"/>
    <w:multiLevelType w:val="hybridMultilevel"/>
    <w:tmpl w:val="F9B8A9CE"/>
    <w:lvl w:ilvl="0" w:tplc="20409E9A">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555437AB"/>
    <w:multiLevelType w:val="singleLevel"/>
    <w:tmpl w:val="B38E01EA"/>
    <w:lvl w:ilvl="0">
      <w:start w:val="1"/>
      <w:numFmt w:val="upperLetter"/>
      <w:lvlText w:val="%1."/>
      <w:lvlJc w:val="left"/>
      <w:pPr>
        <w:tabs>
          <w:tab w:val="num" w:pos="720"/>
        </w:tabs>
        <w:ind w:left="720" w:hanging="720"/>
      </w:pPr>
      <w:rPr>
        <w:rFonts w:hint="default"/>
      </w:rPr>
    </w:lvl>
  </w:abstractNum>
  <w:abstractNum w:abstractNumId="4" w15:restartNumberingAfterBreak="0">
    <w:nsid w:val="7AD91A86"/>
    <w:multiLevelType w:val="multilevel"/>
    <w:tmpl w:val="7C9E5E7C"/>
    <w:lvl w:ilvl="0">
      <w:start w:val="1"/>
      <w:numFmt w:val="decimal"/>
      <w:lvlText w:val="%1."/>
      <w:lvlJc w:val="left"/>
      <w:pPr>
        <w:ind w:left="1145" w:hanging="339"/>
      </w:pPr>
      <w:rPr>
        <w:rFonts w:ascii="Times New Roman" w:eastAsia="Times New Roman" w:hAnsi="Times New Roman" w:cs="Times New Roman"/>
        <w:sz w:val="20"/>
        <w:szCs w:val="20"/>
      </w:rPr>
    </w:lvl>
    <w:lvl w:ilvl="1">
      <w:start w:val="1"/>
      <w:numFmt w:val="bullet"/>
      <w:lvlText w:val="•"/>
      <w:lvlJc w:val="left"/>
      <w:pPr>
        <w:ind w:left="2057" w:hanging="339"/>
      </w:pPr>
    </w:lvl>
    <w:lvl w:ilvl="2">
      <w:start w:val="1"/>
      <w:numFmt w:val="bullet"/>
      <w:lvlText w:val="•"/>
      <w:lvlJc w:val="left"/>
      <w:pPr>
        <w:ind w:left="2970" w:hanging="339"/>
      </w:pPr>
    </w:lvl>
    <w:lvl w:ilvl="3">
      <w:start w:val="1"/>
      <w:numFmt w:val="bullet"/>
      <w:lvlText w:val="•"/>
      <w:lvlJc w:val="left"/>
      <w:pPr>
        <w:ind w:left="3882" w:hanging="339"/>
      </w:pPr>
    </w:lvl>
    <w:lvl w:ilvl="4">
      <w:start w:val="1"/>
      <w:numFmt w:val="bullet"/>
      <w:lvlText w:val="•"/>
      <w:lvlJc w:val="left"/>
      <w:pPr>
        <w:ind w:left="4794" w:hanging="339"/>
      </w:pPr>
    </w:lvl>
    <w:lvl w:ilvl="5">
      <w:start w:val="1"/>
      <w:numFmt w:val="bullet"/>
      <w:lvlText w:val="•"/>
      <w:lvlJc w:val="left"/>
      <w:pPr>
        <w:ind w:left="5706" w:hanging="339"/>
      </w:pPr>
    </w:lvl>
    <w:lvl w:ilvl="6">
      <w:start w:val="1"/>
      <w:numFmt w:val="bullet"/>
      <w:lvlText w:val="•"/>
      <w:lvlJc w:val="left"/>
      <w:pPr>
        <w:ind w:left="6619" w:hanging="339"/>
      </w:pPr>
    </w:lvl>
    <w:lvl w:ilvl="7">
      <w:start w:val="1"/>
      <w:numFmt w:val="bullet"/>
      <w:lvlText w:val="•"/>
      <w:lvlJc w:val="left"/>
      <w:pPr>
        <w:ind w:left="7531" w:hanging="339"/>
      </w:pPr>
    </w:lvl>
    <w:lvl w:ilvl="8">
      <w:start w:val="1"/>
      <w:numFmt w:val="bullet"/>
      <w:lvlText w:val="•"/>
      <w:lvlJc w:val="left"/>
      <w:pPr>
        <w:ind w:left="8443" w:hanging="339"/>
      </w:pPr>
    </w:lvl>
  </w:abstractNum>
  <w:num w:numId="1">
    <w:abstractNumId w:val="0"/>
  </w:num>
  <w:num w:numId="2">
    <w:abstractNumId w:val="4"/>
  </w:num>
  <w:num w:numId="3">
    <w:abstractNumId w:val="1"/>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AC"/>
    <w:rsid w:val="00021F7D"/>
    <w:rsid w:val="000C582A"/>
    <w:rsid w:val="001218D7"/>
    <w:rsid w:val="00166806"/>
    <w:rsid w:val="001A1FB2"/>
    <w:rsid w:val="001C3F36"/>
    <w:rsid w:val="001E6506"/>
    <w:rsid w:val="00221A1F"/>
    <w:rsid w:val="00270BC1"/>
    <w:rsid w:val="00291DEB"/>
    <w:rsid w:val="0029435B"/>
    <w:rsid w:val="003035E3"/>
    <w:rsid w:val="003206F3"/>
    <w:rsid w:val="003D5A76"/>
    <w:rsid w:val="00492DDC"/>
    <w:rsid w:val="00606679"/>
    <w:rsid w:val="00610360"/>
    <w:rsid w:val="00655428"/>
    <w:rsid w:val="0069563D"/>
    <w:rsid w:val="006E7BD4"/>
    <w:rsid w:val="00713FCA"/>
    <w:rsid w:val="00784237"/>
    <w:rsid w:val="007B5BE7"/>
    <w:rsid w:val="0094645F"/>
    <w:rsid w:val="00A50EB0"/>
    <w:rsid w:val="00AF1B30"/>
    <w:rsid w:val="00B206A4"/>
    <w:rsid w:val="00B36F44"/>
    <w:rsid w:val="00B92A11"/>
    <w:rsid w:val="00CF7DA0"/>
    <w:rsid w:val="00D87067"/>
    <w:rsid w:val="00D968C3"/>
    <w:rsid w:val="00E879CF"/>
    <w:rsid w:val="00EC4EAC"/>
    <w:rsid w:val="00ED5BC8"/>
    <w:rsid w:val="00F72673"/>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2348"/>
  <w15:docId w15:val="{E9612FF7-39CF-4462-8DAD-75A1204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96"/>
      <w:outlineLvl w:val="0"/>
    </w:pPr>
    <w:rPr>
      <w:rFonts w:ascii="Times New Roman" w:eastAsia="Times New Roman" w:hAnsi="Times New Roman"/>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796"/>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2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50E"/>
    <w:rPr>
      <w:rFonts w:ascii="Segoe UI" w:hAnsi="Segoe UI" w:cs="Segoe UI"/>
      <w:sz w:val="18"/>
      <w:szCs w:val="18"/>
    </w:rPr>
  </w:style>
  <w:style w:type="character" w:styleId="Hyperlink">
    <w:name w:val="Hyperlink"/>
    <w:basedOn w:val="DefaultParagraphFont"/>
    <w:uiPriority w:val="99"/>
    <w:unhideWhenUsed/>
    <w:rsid w:val="00EB7121"/>
    <w:rPr>
      <w:color w:val="0000FF" w:themeColor="hyperlink"/>
      <w:u w:val="single"/>
    </w:rPr>
  </w:style>
  <w:style w:type="character" w:customStyle="1" w:styleId="UnresolvedMention1">
    <w:name w:val="Unresolved Mention1"/>
    <w:basedOn w:val="DefaultParagraphFont"/>
    <w:uiPriority w:val="99"/>
    <w:semiHidden/>
    <w:unhideWhenUsed/>
    <w:rsid w:val="00EB712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uiPriority w:val="99"/>
    <w:semiHidden/>
    <w:unhideWhenUsed/>
    <w:rsid w:val="00CF7DA0"/>
    <w:pPr>
      <w:spacing w:after="120"/>
      <w:ind w:left="360"/>
    </w:pPr>
  </w:style>
  <w:style w:type="character" w:customStyle="1" w:styleId="BodyTextIndentChar">
    <w:name w:val="Body Text Indent Char"/>
    <w:basedOn w:val="DefaultParagraphFont"/>
    <w:link w:val="BodyTextIndent"/>
    <w:uiPriority w:val="99"/>
    <w:semiHidden/>
    <w:rsid w:val="00CF7DA0"/>
  </w:style>
  <w:style w:type="paragraph" w:styleId="Footer">
    <w:name w:val="footer"/>
    <w:basedOn w:val="Normal"/>
    <w:link w:val="FooterChar"/>
    <w:uiPriority w:val="99"/>
    <w:unhideWhenUsed/>
    <w:rsid w:val="00CF7DA0"/>
    <w:pPr>
      <w:tabs>
        <w:tab w:val="center" w:pos="4680"/>
        <w:tab w:val="right" w:pos="9360"/>
      </w:tabs>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CF7DA0"/>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0C582A"/>
    <w:rPr>
      <w:sz w:val="16"/>
      <w:szCs w:val="16"/>
    </w:rPr>
  </w:style>
  <w:style w:type="paragraph" w:styleId="CommentText">
    <w:name w:val="annotation text"/>
    <w:basedOn w:val="Normal"/>
    <w:link w:val="CommentTextChar"/>
    <w:uiPriority w:val="99"/>
    <w:semiHidden/>
    <w:unhideWhenUsed/>
    <w:rsid w:val="000C582A"/>
    <w:rPr>
      <w:sz w:val="20"/>
      <w:szCs w:val="20"/>
    </w:rPr>
  </w:style>
  <w:style w:type="character" w:customStyle="1" w:styleId="CommentTextChar">
    <w:name w:val="Comment Text Char"/>
    <w:basedOn w:val="DefaultParagraphFont"/>
    <w:link w:val="CommentText"/>
    <w:uiPriority w:val="99"/>
    <w:semiHidden/>
    <w:rsid w:val="000C582A"/>
    <w:rPr>
      <w:sz w:val="20"/>
      <w:szCs w:val="20"/>
    </w:rPr>
  </w:style>
  <w:style w:type="paragraph" w:styleId="CommentSubject">
    <w:name w:val="annotation subject"/>
    <w:basedOn w:val="CommentText"/>
    <w:next w:val="CommentText"/>
    <w:link w:val="CommentSubjectChar"/>
    <w:uiPriority w:val="99"/>
    <w:semiHidden/>
    <w:unhideWhenUsed/>
    <w:rsid w:val="000C582A"/>
    <w:rPr>
      <w:b/>
      <w:bCs/>
    </w:rPr>
  </w:style>
  <w:style w:type="character" w:customStyle="1" w:styleId="CommentSubjectChar">
    <w:name w:val="Comment Subject Char"/>
    <w:basedOn w:val="CommentTextChar"/>
    <w:link w:val="CommentSubject"/>
    <w:uiPriority w:val="99"/>
    <w:semiHidden/>
    <w:rsid w:val="000C582A"/>
    <w:rPr>
      <w:b/>
      <w:bCs/>
      <w:sz w:val="20"/>
      <w:szCs w:val="20"/>
    </w:rPr>
  </w:style>
  <w:style w:type="character" w:customStyle="1" w:styleId="UnresolvedMention2">
    <w:name w:val="Unresolved Mention2"/>
    <w:basedOn w:val="DefaultParagraphFont"/>
    <w:uiPriority w:val="99"/>
    <w:semiHidden/>
    <w:unhideWhenUsed/>
    <w:rsid w:val="00221A1F"/>
    <w:rPr>
      <w:color w:val="605E5C"/>
      <w:shd w:val="clear" w:color="auto" w:fill="E1DFDD"/>
    </w:rPr>
  </w:style>
  <w:style w:type="paragraph" w:styleId="Header">
    <w:name w:val="header"/>
    <w:basedOn w:val="Normal"/>
    <w:link w:val="HeaderChar"/>
    <w:uiPriority w:val="99"/>
    <w:unhideWhenUsed/>
    <w:rsid w:val="00610360"/>
    <w:pPr>
      <w:tabs>
        <w:tab w:val="center" w:pos="4680"/>
        <w:tab w:val="right" w:pos="9360"/>
      </w:tabs>
    </w:pPr>
  </w:style>
  <w:style w:type="character" w:customStyle="1" w:styleId="HeaderChar">
    <w:name w:val="Header Char"/>
    <w:basedOn w:val="DefaultParagraphFont"/>
    <w:link w:val="Header"/>
    <w:uiPriority w:val="99"/>
    <w:rsid w:val="0061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erge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btM6Ybvn74HFja8UVgWecbcHw==">AMUW2mX1oEDdjmP/OrB+EW/XHGwHfgMc9rbdxENCyoNUvOY8Xts8n9yAkXD5o+ICayLsLFxrXOV0EDfw8PMECvYHRK6af7FOdMsQUAhkalDbgoW6p6vVkXspl8prD//XIKukH0hEMliF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06682-EC6C-48C2-A0C9-E2AEAD15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10948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Malone</dc:creator>
  <cp:lastModifiedBy>Mercado, Bernard</cp:lastModifiedBy>
  <cp:revision>2</cp:revision>
  <dcterms:created xsi:type="dcterms:W3CDTF">2021-11-12T14:57:00Z</dcterms:created>
  <dcterms:modified xsi:type="dcterms:W3CDTF">2021-11-12T14:57:00Z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LastSaved">
    <vt:filetime>2020-02-24T00:00:00Z</vt:filetime>
  </property>
</Properties>
</file>